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0"/>
        <w:gridCol w:w="988"/>
        <w:gridCol w:w="7383"/>
        <w:gridCol w:w="1134"/>
      </w:tblGrid>
      <w:tr w:rsidR="006B6047" w:rsidRPr="004D354C" w:rsidTr="00A60AA9">
        <w:tc>
          <w:tcPr>
            <w:tcW w:w="107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B6047" w:rsidRPr="004D354C" w:rsidRDefault="006B6047" w:rsidP="00A60AA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>
                  <wp:extent cx="542925" cy="542925"/>
                  <wp:effectExtent l="19050" t="0" r="952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B6047" w:rsidRPr="004D354C" w:rsidRDefault="006B6047" w:rsidP="00A60AA9">
            <w:pPr>
              <w:spacing w:after="0"/>
              <w:jc w:val="center"/>
              <w:rPr>
                <w:rFonts w:ascii="Arial" w:hAnsi="Arial" w:cs="Arial"/>
              </w:rPr>
            </w:pPr>
            <w:r w:rsidRPr="004D354C">
              <w:rPr>
                <w:rFonts w:ascii="Arial" w:hAnsi="Arial" w:cs="Arial"/>
                <w:sz w:val="16"/>
                <w:szCs w:val="16"/>
              </w:rPr>
              <w:t>Centre d’Hygiène  et de Salubrité Publique</w:t>
            </w:r>
          </w:p>
        </w:tc>
        <w:tc>
          <w:tcPr>
            <w:tcW w:w="738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B6047" w:rsidRDefault="006B6047" w:rsidP="00A60AA9">
            <w:pPr>
              <w:spacing w:after="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146D9">
              <w:rPr>
                <w:rFonts w:ascii="Arial" w:hAnsi="Arial" w:cs="Arial"/>
                <w:b/>
                <w:sz w:val="36"/>
                <w:szCs w:val="36"/>
              </w:rPr>
              <w:t>Référentiel de formation</w:t>
            </w:r>
          </w:p>
          <w:p w:rsidR="006B6047" w:rsidRPr="00EA4210" w:rsidRDefault="006B6047" w:rsidP="00A60AA9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A4210">
              <w:rPr>
                <w:b/>
                <w:sz w:val="32"/>
                <w:szCs w:val="32"/>
              </w:rPr>
              <w:t>Module de formation initiale « sensibilisation »</w:t>
            </w:r>
          </w:p>
        </w:tc>
        <w:tc>
          <w:tcPr>
            <w:tcW w:w="113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B6047" w:rsidRPr="004D354C" w:rsidRDefault="006B6047" w:rsidP="00A60AA9">
            <w:pPr>
              <w:pStyle w:val="Nomdesocit"/>
              <w:keepLines w:val="0"/>
              <w:framePr w:w="0" w:hSpace="0" w:vSpace="0" w:wrap="auto" w:vAnchor="margin" w:hAnchor="text" w:xAlign="left" w:yAlign="inline" w:anchorLock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Information</w:t>
            </w:r>
          </w:p>
          <w:p w:rsidR="006B6047" w:rsidRPr="004D354C" w:rsidRDefault="006B6047" w:rsidP="00A60AA9">
            <w:pPr>
              <w:spacing w:after="0"/>
              <w:jc w:val="center"/>
              <w:rPr>
                <w:rFonts w:ascii="Arial" w:hAnsi="Arial" w:cs="Arial"/>
              </w:rPr>
            </w:pPr>
            <w:r w:rsidRPr="004D354C">
              <w:rPr>
                <w:rFonts w:ascii="Arial" w:hAnsi="Arial" w:cs="Arial"/>
                <w:sz w:val="16"/>
                <w:szCs w:val="16"/>
              </w:rPr>
              <w:t>mis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4D354C">
              <w:rPr>
                <w:rFonts w:ascii="Arial" w:hAnsi="Arial" w:cs="Arial"/>
                <w:sz w:val="16"/>
                <w:szCs w:val="16"/>
              </w:rPr>
              <w:t xml:space="preserve"> à jour </w:t>
            </w:r>
            <w:r>
              <w:rPr>
                <w:rFonts w:ascii="Arial" w:hAnsi="Arial" w:cs="Arial"/>
                <w:sz w:val="16"/>
                <w:szCs w:val="16"/>
              </w:rPr>
              <w:t>11/08/2020</w:t>
            </w:r>
          </w:p>
        </w:tc>
      </w:tr>
    </w:tbl>
    <w:p w:rsidR="00CD0236" w:rsidRDefault="00CD0236"/>
    <w:p w:rsidR="006B6047" w:rsidRDefault="006B6047" w:rsidP="006B6047">
      <w:pPr>
        <w:pStyle w:val="Default"/>
        <w:jc w:val="center"/>
        <w:rPr>
          <w:b/>
          <w:sz w:val="28"/>
          <w:szCs w:val="28"/>
        </w:rPr>
      </w:pPr>
      <w:r w:rsidRPr="006B6047">
        <w:rPr>
          <w:b/>
          <w:sz w:val="28"/>
          <w:szCs w:val="28"/>
        </w:rPr>
        <w:t>Module de formation « sensibilisation aux règles d’hygiène alimentaire et démarches administratives des entreprises du secteur alimentaire »</w:t>
      </w:r>
    </w:p>
    <w:p w:rsidR="006B6047" w:rsidRDefault="006B6047" w:rsidP="006B6047">
      <w:pPr>
        <w:pStyle w:val="Default"/>
        <w:jc w:val="center"/>
        <w:rPr>
          <w:b/>
          <w:sz w:val="28"/>
          <w:szCs w:val="28"/>
        </w:rPr>
      </w:pPr>
    </w:p>
    <w:p w:rsidR="006B6047" w:rsidRPr="000C7E28" w:rsidRDefault="006B6047" w:rsidP="006B6047">
      <w:pPr>
        <w:pStyle w:val="Default"/>
        <w:jc w:val="center"/>
        <w:rPr>
          <w:b/>
          <w:sz w:val="28"/>
          <w:szCs w:val="28"/>
        </w:rPr>
      </w:pPr>
      <w:r w:rsidRPr="000C7E28">
        <w:rPr>
          <w:b/>
          <w:sz w:val="28"/>
          <w:szCs w:val="28"/>
        </w:rPr>
        <w:t>Référentiel</w:t>
      </w:r>
    </w:p>
    <w:p w:rsidR="006B6047" w:rsidRDefault="006B6047" w:rsidP="006B6047">
      <w:pPr>
        <w:pStyle w:val="Default"/>
        <w:pBdr>
          <w:bottom w:val="single" w:sz="4" w:space="1" w:color="auto"/>
        </w:pBdr>
        <w:rPr>
          <w:b/>
          <w:sz w:val="28"/>
          <w:szCs w:val="28"/>
        </w:rPr>
      </w:pPr>
    </w:p>
    <w:p w:rsidR="006B6047" w:rsidRDefault="006B6047" w:rsidP="006B6047">
      <w:pPr>
        <w:pStyle w:val="Default"/>
        <w:pBdr>
          <w:bottom w:val="single" w:sz="4" w:space="1" w:color="auto"/>
        </w:pBdr>
        <w:rPr>
          <w:b/>
          <w:sz w:val="28"/>
          <w:szCs w:val="28"/>
        </w:rPr>
      </w:pPr>
    </w:p>
    <w:p w:rsidR="006B6047" w:rsidRPr="008378D8" w:rsidRDefault="006B6047" w:rsidP="006B6047">
      <w:pPr>
        <w:pStyle w:val="Default"/>
        <w:pBdr>
          <w:bottom w:val="single" w:sz="4" w:space="1" w:color="auto"/>
        </w:pBdr>
        <w:rPr>
          <w:b/>
          <w:sz w:val="28"/>
          <w:szCs w:val="28"/>
        </w:rPr>
      </w:pPr>
      <w:r w:rsidRPr="008378D8">
        <w:rPr>
          <w:b/>
          <w:sz w:val="28"/>
          <w:szCs w:val="28"/>
        </w:rPr>
        <w:t>Objectifs</w:t>
      </w:r>
    </w:p>
    <w:p w:rsidR="006B6047" w:rsidRDefault="006B6047" w:rsidP="006B6047">
      <w:pPr>
        <w:pStyle w:val="Default"/>
        <w:rPr>
          <w:color w:val="auto"/>
          <w:sz w:val="22"/>
          <w:szCs w:val="22"/>
        </w:rPr>
      </w:pPr>
    </w:p>
    <w:p w:rsidR="006B6047" w:rsidRPr="00221C9C" w:rsidRDefault="006B6047" w:rsidP="006B6047">
      <w:pPr>
        <w:pStyle w:val="Default"/>
        <w:rPr>
          <w:color w:val="auto"/>
          <w:sz w:val="22"/>
          <w:szCs w:val="22"/>
        </w:rPr>
      </w:pPr>
      <w:r w:rsidRPr="00221C9C">
        <w:rPr>
          <w:color w:val="auto"/>
          <w:sz w:val="22"/>
          <w:szCs w:val="22"/>
        </w:rPr>
        <w:t xml:space="preserve">- Connaître les dangers et risques spécifiques </w:t>
      </w:r>
      <w:r>
        <w:rPr>
          <w:color w:val="auto"/>
          <w:sz w:val="22"/>
          <w:szCs w:val="22"/>
        </w:rPr>
        <w:t>aux</w:t>
      </w:r>
      <w:r w:rsidRPr="00221C9C">
        <w:rPr>
          <w:color w:val="auto"/>
          <w:sz w:val="22"/>
          <w:szCs w:val="22"/>
        </w:rPr>
        <w:t xml:space="preserve"> activité</w:t>
      </w:r>
      <w:r>
        <w:rPr>
          <w:color w:val="auto"/>
          <w:sz w:val="22"/>
          <w:szCs w:val="22"/>
        </w:rPr>
        <w:t>s alimentaires</w:t>
      </w:r>
      <w:r w:rsidRPr="00221C9C">
        <w:rPr>
          <w:color w:val="auto"/>
          <w:sz w:val="22"/>
          <w:szCs w:val="22"/>
        </w:rPr>
        <w:t xml:space="preserve">. </w:t>
      </w:r>
    </w:p>
    <w:p w:rsidR="006B6047" w:rsidRDefault="006B6047" w:rsidP="006B6047">
      <w:pPr>
        <w:pStyle w:val="Default"/>
        <w:rPr>
          <w:color w:val="auto"/>
          <w:sz w:val="22"/>
          <w:szCs w:val="22"/>
        </w:rPr>
      </w:pPr>
      <w:r w:rsidRPr="00221C9C">
        <w:rPr>
          <w:color w:val="auto"/>
          <w:sz w:val="22"/>
          <w:szCs w:val="22"/>
        </w:rPr>
        <w:t xml:space="preserve">- Pouvoir mettre en œuvre, au sein de son établissement, les prescriptions règlementaires et </w:t>
      </w:r>
      <w:r>
        <w:rPr>
          <w:color w:val="auto"/>
          <w:sz w:val="22"/>
          <w:szCs w:val="22"/>
        </w:rPr>
        <w:t>les bonnes pratiques d’hygiène alimentaire.</w:t>
      </w:r>
    </w:p>
    <w:p w:rsidR="006B6047" w:rsidRDefault="006B6047" w:rsidP="006B604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Connaître les règles de conception des locaux et des installations conformes aux règles d’hygiène.</w:t>
      </w:r>
    </w:p>
    <w:p w:rsidR="006B6047" w:rsidRDefault="006B6047" w:rsidP="006B604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Connaître les </w:t>
      </w:r>
      <w:r w:rsidRPr="008378D8">
        <w:rPr>
          <w:color w:val="auto"/>
          <w:sz w:val="22"/>
          <w:szCs w:val="22"/>
        </w:rPr>
        <w:t>démarches  administratives pour lancer son activité</w:t>
      </w:r>
      <w:r>
        <w:rPr>
          <w:color w:val="auto"/>
          <w:sz w:val="22"/>
          <w:szCs w:val="22"/>
        </w:rPr>
        <w:t>.</w:t>
      </w:r>
    </w:p>
    <w:p w:rsidR="006B6047" w:rsidRDefault="006B6047" w:rsidP="006B604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Disposer des connaissances qui permettent d’obtenir la confiance des bailleurs.</w:t>
      </w:r>
    </w:p>
    <w:p w:rsidR="006B6047" w:rsidRDefault="006B6047" w:rsidP="006B6047">
      <w:pPr>
        <w:pStyle w:val="Default"/>
        <w:rPr>
          <w:color w:val="auto"/>
          <w:sz w:val="22"/>
          <w:szCs w:val="22"/>
        </w:rPr>
      </w:pPr>
    </w:p>
    <w:p w:rsidR="006B6047" w:rsidRDefault="006B6047" w:rsidP="006B6047">
      <w:pPr>
        <w:pStyle w:val="Default"/>
        <w:pBdr>
          <w:bottom w:val="single" w:sz="4" w:space="1" w:color="auto"/>
        </w:pBdr>
        <w:rPr>
          <w:b/>
          <w:sz w:val="28"/>
          <w:szCs w:val="28"/>
        </w:rPr>
      </w:pPr>
    </w:p>
    <w:p w:rsidR="006B6047" w:rsidRPr="008378D8" w:rsidRDefault="006B6047" w:rsidP="006B6047">
      <w:pPr>
        <w:pStyle w:val="Default"/>
        <w:pBdr>
          <w:bottom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Format</w:t>
      </w:r>
    </w:p>
    <w:p w:rsidR="006B6047" w:rsidRDefault="006B6047" w:rsidP="006B6047">
      <w:pPr>
        <w:spacing w:after="0" w:line="240" w:lineRule="auto"/>
      </w:pPr>
    </w:p>
    <w:p w:rsidR="006B6047" w:rsidRDefault="006B6047" w:rsidP="006B6047">
      <w:pPr>
        <w:spacing w:after="0" w:line="240" w:lineRule="auto"/>
      </w:pPr>
      <w:r>
        <w:t>Formation théorique avec support écran (diaporama)</w:t>
      </w:r>
    </w:p>
    <w:p w:rsidR="006B6047" w:rsidRDefault="006B6047" w:rsidP="006B6047">
      <w:pPr>
        <w:spacing w:after="0" w:line="240" w:lineRule="auto"/>
      </w:pPr>
      <w:r>
        <w:t>Durée : 2 heures minimum</w:t>
      </w:r>
    </w:p>
    <w:p w:rsidR="006B6047" w:rsidRDefault="006B6047" w:rsidP="006B6047">
      <w:pPr>
        <w:spacing w:after="0" w:line="240" w:lineRule="auto"/>
      </w:pPr>
    </w:p>
    <w:p w:rsidR="006B6047" w:rsidRDefault="006B6047" w:rsidP="006B6047">
      <w:pPr>
        <w:spacing w:after="0" w:line="240" w:lineRule="auto"/>
      </w:pPr>
    </w:p>
    <w:p w:rsidR="006B6047" w:rsidRPr="00221C9C" w:rsidRDefault="006B6047" w:rsidP="006B6047">
      <w:pPr>
        <w:pBdr>
          <w:bottom w:val="single" w:sz="4" w:space="1" w:color="auto"/>
        </w:pBd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Programme</w:t>
      </w:r>
    </w:p>
    <w:p w:rsidR="006B6047" w:rsidRDefault="006B6047" w:rsidP="006B6047">
      <w:pPr>
        <w:spacing w:after="0" w:line="240" w:lineRule="auto"/>
      </w:pPr>
    </w:p>
    <w:p w:rsidR="006B6047" w:rsidRPr="007F5ACF" w:rsidRDefault="006B6047" w:rsidP="006B6047">
      <w:pPr>
        <w:pBdr>
          <w:bottom w:val="single" w:sz="4" w:space="1" w:color="auto"/>
        </w:pBdr>
        <w:spacing w:after="0" w:line="240" w:lineRule="auto"/>
        <w:rPr>
          <w:b/>
        </w:rPr>
      </w:pPr>
      <w:r w:rsidRPr="007F5ACF">
        <w:rPr>
          <w:b/>
        </w:rPr>
        <w:t xml:space="preserve">Les services de contrôle dans le secteur alimentaire: organisation et missions </w:t>
      </w:r>
    </w:p>
    <w:p w:rsidR="006B6047" w:rsidRDefault="006B6047" w:rsidP="006B6047">
      <w:pPr>
        <w:spacing w:after="0" w:line="240" w:lineRule="auto"/>
        <w:ind w:left="708"/>
      </w:pPr>
      <w:r>
        <w:t>Le CHSP (DSP), la DGAE (M. écon</w:t>
      </w:r>
      <w:r w:rsidR="00941C4D">
        <w:t>o</w:t>
      </w:r>
      <w:r>
        <w:t>mie), le SAU, la DBS, la DICP</w:t>
      </w:r>
    </w:p>
    <w:p w:rsidR="006B6047" w:rsidRDefault="006B6047" w:rsidP="006B6047">
      <w:pPr>
        <w:spacing w:after="0" w:line="240" w:lineRule="auto"/>
        <w:ind w:left="708"/>
      </w:pPr>
      <w:r>
        <w:t xml:space="preserve">Les partenaires des services de contrôle : CCISM et CDFE, RCS, ISPF, </w:t>
      </w:r>
      <w:proofErr w:type="gramStart"/>
      <w:r>
        <w:t>SEFI,..</w:t>
      </w:r>
      <w:proofErr w:type="gramEnd"/>
    </w:p>
    <w:p w:rsidR="006B6047" w:rsidRDefault="006B6047" w:rsidP="006B6047">
      <w:pPr>
        <w:spacing w:after="0" w:line="240" w:lineRule="auto"/>
        <w:ind w:left="708"/>
      </w:pPr>
    </w:p>
    <w:p w:rsidR="006B6047" w:rsidRPr="007F5ACF" w:rsidRDefault="006B6047" w:rsidP="006B6047">
      <w:pPr>
        <w:pBdr>
          <w:bottom w:val="single" w:sz="4" w:space="1" w:color="auto"/>
        </w:pBdr>
        <w:spacing w:after="0" w:line="240" w:lineRule="auto"/>
        <w:rPr>
          <w:b/>
        </w:rPr>
      </w:pPr>
      <w:r w:rsidRPr="007F5ACF">
        <w:rPr>
          <w:b/>
        </w:rPr>
        <w:t>La règlementation</w:t>
      </w:r>
    </w:p>
    <w:p w:rsidR="006B6047" w:rsidRDefault="006B6047" w:rsidP="006B6047">
      <w:pPr>
        <w:spacing w:after="0" w:line="240" w:lineRule="auto"/>
        <w:ind w:left="360"/>
        <w:outlineLvl w:val="2"/>
        <w:rPr>
          <w:rFonts w:eastAsia="Times New Roman" w:cstheme="minorHAnsi"/>
          <w:b/>
          <w:bCs/>
          <w:lang w:eastAsia="fr-FR"/>
        </w:rPr>
      </w:pPr>
    </w:p>
    <w:p w:rsidR="006B6047" w:rsidRPr="0075392C" w:rsidRDefault="006B6047" w:rsidP="006B6047">
      <w:pPr>
        <w:spacing w:after="0" w:line="240" w:lineRule="auto"/>
        <w:ind w:left="360"/>
        <w:outlineLvl w:val="2"/>
        <w:rPr>
          <w:rFonts w:eastAsia="Times New Roman" w:cstheme="minorHAnsi"/>
          <w:b/>
          <w:bCs/>
          <w:lang w:eastAsia="fr-FR"/>
        </w:rPr>
      </w:pPr>
      <w:r w:rsidRPr="0075392C">
        <w:rPr>
          <w:rFonts w:eastAsia="Times New Roman" w:cstheme="minorHAnsi"/>
          <w:b/>
          <w:bCs/>
          <w:lang w:eastAsia="fr-FR"/>
        </w:rPr>
        <w:t>Textes généraux</w:t>
      </w:r>
    </w:p>
    <w:p w:rsidR="006B6047" w:rsidRPr="0075392C" w:rsidRDefault="00C1099A" w:rsidP="006B6047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eastAsia="Times New Roman" w:cstheme="minorHAnsi"/>
          <w:lang w:eastAsia="fr-FR"/>
        </w:rPr>
      </w:pPr>
      <w:hyperlink r:id="rId6" w:history="1">
        <w:r w:rsidR="006B6047" w:rsidRPr="0075392C">
          <w:rPr>
            <w:rFonts w:eastAsia="Times New Roman" w:cstheme="minorHAnsi"/>
            <w:b/>
            <w:bCs/>
            <w:color w:val="0000FF"/>
            <w:u w:val="single"/>
            <w:lang w:eastAsia="fr-FR"/>
          </w:rPr>
          <w:t>Délibération n° 77-116</w:t>
        </w:r>
      </w:hyperlink>
      <w:r w:rsidR="006B6047" w:rsidRPr="0075392C">
        <w:rPr>
          <w:rFonts w:eastAsia="Times New Roman" w:cstheme="minorHAnsi"/>
          <w:lang w:eastAsia="fr-FR"/>
        </w:rPr>
        <w:t xml:space="preserve"> du 14 octobre 1977 portant réglementation de l’inspection des denrées alimentaires d’origine animale (</w:t>
      </w:r>
      <w:proofErr w:type="spellStart"/>
      <w:r w:rsidR="006B6047" w:rsidRPr="0075392C">
        <w:rPr>
          <w:rFonts w:eastAsia="Times New Roman" w:cstheme="minorHAnsi"/>
          <w:lang w:eastAsia="fr-FR"/>
        </w:rPr>
        <w:t>r.e</w:t>
      </w:r>
      <w:proofErr w:type="spellEnd"/>
      <w:r w:rsidR="006B6047" w:rsidRPr="0075392C">
        <w:rPr>
          <w:rFonts w:eastAsia="Times New Roman" w:cstheme="minorHAnsi"/>
          <w:lang w:eastAsia="fr-FR"/>
        </w:rPr>
        <w:t>. Arrêté n° 5533 AA du 21 novembre 1977)</w:t>
      </w:r>
    </w:p>
    <w:p w:rsidR="006B6047" w:rsidRPr="0075392C" w:rsidRDefault="00C1099A" w:rsidP="006B6047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eastAsia="Times New Roman" w:cstheme="minorHAnsi"/>
          <w:lang w:eastAsia="fr-FR"/>
        </w:rPr>
      </w:pPr>
      <w:hyperlink r:id="rId7" w:history="1">
        <w:r w:rsidR="006B6047" w:rsidRPr="0075392C">
          <w:rPr>
            <w:rFonts w:eastAsia="Times New Roman" w:cstheme="minorHAnsi"/>
            <w:b/>
            <w:bCs/>
            <w:color w:val="0000FF"/>
            <w:u w:val="single"/>
            <w:lang w:eastAsia="fr-FR"/>
          </w:rPr>
          <w:t>Arrêté n° 583/S</w:t>
        </w:r>
      </w:hyperlink>
      <w:r w:rsidR="006B6047" w:rsidRPr="0075392C">
        <w:rPr>
          <w:rFonts w:eastAsia="Times New Roman" w:cstheme="minorHAnsi"/>
          <w:lang w:eastAsia="fr-FR"/>
        </w:rPr>
        <w:t xml:space="preserve"> du 09 avril 1954 modifié réglementant l’hygiène et la salubrité publiques dans les Etablissements français d’Océanie</w:t>
      </w:r>
    </w:p>
    <w:p w:rsidR="006B6047" w:rsidRPr="0075392C" w:rsidRDefault="00C1099A" w:rsidP="006B6047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eastAsia="Times New Roman" w:cstheme="minorHAnsi"/>
          <w:lang w:eastAsia="fr-FR"/>
        </w:rPr>
      </w:pPr>
      <w:hyperlink r:id="rId8" w:history="1">
        <w:r w:rsidR="006B6047" w:rsidRPr="0075392C">
          <w:rPr>
            <w:rFonts w:eastAsia="Times New Roman" w:cstheme="minorHAnsi"/>
            <w:b/>
            <w:bCs/>
            <w:color w:val="0000FF"/>
            <w:u w:val="single"/>
            <w:lang w:eastAsia="fr-FR"/>
          </w:rPr>
          <w:t>Arrêté n° 1115 CM</w:t>
        </w:r>
      </w:hyperlink>
      <w:r w:rsidR="006B6047" w:rsidRPr="0075392C">
        <w:rPr>
          <w:rFonts w:eastAsia="Times New Roman" w:cstheme="minorHAnsi"/>
          <w:lang w:eastAsia="fr-FR"/>
        </w:rPr>
        <w:t xml:space="preserve"> du 6 octobre 2006 pris en application de l’article 10 de la délibération n° 77-116 AT du 14 octobre 1977 modifiée portant réglementation de l’inspection des denrées alimentaires d’origine animale</w:t>
      </w:r>
    </w:p>
    <w:p w:rsidR="006B6047" w:rsidRPr="0075392C" w:rsidRDefault="006B6047" w:rsidP="006B6047">
      <w:pPr>
        <w:spacing w:after="0" w:line="240" w:lineRule="auto"/>
        <w:ind w:left="360"/>
        <w:outlineLvl w:val="2"/>
        <w:rPr>
          <w:rFonts w:eastAsia="Times New Roman" w:cstheme="minorHAnsi"/>
          <w:b/>
          <w:bCs/>
          <w:lang w:eastAsia="fr-FR"/>
        </w:rPr>
      </w:pPr>
      <w:r w:rsidRPr="0075392C">
        <w:rPr>
          <w:rFonts w:eastAsia="Times New Roman" w:cstheme="minorHAnsi"/>
          <w:b/>
          <w:bCs/>
          <w:lang w:eastAsia="fr-FR"/>
        </w:rPr>
        <w:t>Etablissements fixes : snacks, restaurants…</w:t>
      </w:r>
    </w:p>
    <w:p w:rsidR="006B6047" w:rsidRPr="0075392C" w:rsidRDefault="00C1099A" w:rsidP="006B6047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eastAsia="Times New Roman" w:cstheme="minorHAnsi"/>
          <w:lang w:eastAsia="fr-FR"/>
        </w:rPr>
      </w:pPr>
      <w:hyperlink r:id="rId9" w:history="1">
        <w:r w:rsidR="006B6047" w:rsidRPr="0075392C">
          <w:rPr>
            <w:rFonts w:eastAsia="Times New Roman" w:cstheme="minorHAnsi"/>
            <w:b/>
            <w:bCs/>
            <w:color w:val="0000FF"/>
            <w:u w:val="single"/>
            <w:lang w:eastAsia="fr-FR"/>
          </w:rPr>
          <w:t>Arrêté n° 1116 CM</w:t>
        </w:r>
      </w:hyperlink>
      <w:r w:rsidR="006B6047" w:rsidRPr="0075392C">
        <w:rPr>
          <w:rFonts w:eastAsia="Times New Roman" w:cstheme="minorHAnsi"/>
          <w:lang w:eastAsia="fr-FR"/>
        </w:rPr>
        <w:t xml:space="preserve"> du 6 octobre 2006 pris en application de l’article 11 de la délibération n° 77-116 AT du 14 octobre 1977 modifiée portant réglementation de l’inspection des denrées alimentaires d’origine animale</w:t>
      </w:r>
    </w:p>
    <w:p w:rsidR="006B6047" w:rsidRPr="0075392C" w:rsidRDefault="006B6047" w:rsidP="006B6047">
      <w:pPr>
        <w:spacing w:after="0" w:line="240" w:lineRule="auto"/>
        <w:ind w:left="360"/>
        <w:outlineLvl w:val="2"/>
        <w:rPr>
          <w:rFonts w:eastAsia="Times New Roman" w:cstheme="minorHAnsi"/>
          <w:b/>
          <w:bCs/>
          <w:lang w:eastAsia="fr-FR"/>
        </w:rPr>
      </w:pPr>
      <w:r w:rsidRPr="0075392C">
        <w:rPr>
          <w:rFonts w:eastAsia="Times New Roman" w:cstheme="minorHAnsi"/>
          <w:b/>
          <w:bCs/>
          <w:lang w:eastAsia="fr-FR"/>
        </w:rPr>
        <w:t>Etablissements mobiles ou provisoires</w:t>
      </w:r>
    </w:p>
    <w:p w:rsidR="006B6047" w:rsidRPr="0075392C" w:rsidRDefault="00C1099A" w:rsidP="006B6047">
      <w:pPr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eastAsia="Times New Roman" w:cstheme="minorHAnsi"/>
          <w:lang w:eastAsia="fr-FR"/>
        </w:rPr>
      </w:pPr>
      <w:hyperlink r:id="rId10" w:history="1">
        <w:r w:rsidR="006B6047" w:rsidRPr="0075392C">
          <w:rPr>
            <w:rFonts w:eastAsia="Times New Roman" w:cstheme="minorHAnsi"/>
            <w:b/>
            <w:bCs/>
            <w:color w:val="0000FF"/>
            <w:u w:val="single"/>
            <w:lang w:eastAsia="fr-FR"/>
          </w:rPr>
          <w:t>Arrêté n° 1750 CM</w:t>
        </w:r>
      </w:hyperlink>
      <w:r w:rsidR="006B6047" w:rsidRPr="0075392C">
        <w:rPr>
          <w:rFonts w:eastAsia="Times New Roman" w:cstheme="minorHAnsi"/>
          <w:lang w:eastAsia="fr-FR"/>
        </w:rPr>
        <w:t xml:space="preserve"> du 14 octobre 2009 relatif aux conditions d’hygiène applicables dans les établissements mobiles ou provisoires qui proposent, à titre gratuit ou onéreux, des denrées alimentaires animales ou d’origine animale</w:t>
      </w:r>
    </w:p>
    <w:p w:rsidR="006B6047" w:rsidRPr="0075392C" w:rsidRDefault="006B6047" w:rsidP="006B6047">
      <w:pPr>
        <w:spacing w:after="0" w:line="240" w:lineRule="auto"/>
        <w:ind w:left="360"/>
        <w:outlineLvl w:val="2"/>
        <w:rPr>
          <w:rFonts w:eastAsia="Times New Roman" w:cstheme="minorHAnsi"/>
          <w:b/>
          <w:bCs/>
          <w:lang w:eastAsia="fr-FR"/>
        </w:rPr>
      </w:pPr>
      <w:r w:rsidRPr="0075392C">
        <w:rPr>
          <w:rFonts w:eastAsia="Times New Roman" w:cstheme="minorHAnsi"/>
          <w:b/>
          <w:bCs/>
          <w:lang w:eastAsia="fr-FR"/>
        </w:rPr>
        <w:t>Entrepôts</w:t>
      </w:r>
    </w:p>
    <w:p w:rsidR="006B6047" w:rsidRPr="0075392C" w:rsidRDefault="00C1099A" w:rsidP="006B6047">
      <w:pPr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eastAsia="Times New Roman" w:cstheme="minorHAnsi"/>
          <w:lang w:eastAsia="fr-FR"/>
        </w:rPr>
      </w:pPr>
      <w:hyperlink r:id="rId11" w:history="1">
        <w:r w:rsidR="006B6047" w:rsidRPr="0075392C">
          <w:rPr>
            <w:rFonts w:eastAsia="Times New Roman" w:cstheme="minorHAnsi"/>
            <w:b/>
            <w:bCs/>
            <w:color w:val="0000FF"/>
            <w:u w:val="single"/>
            <w:lang w:eastAsia="fr-FR"/>
          </w:rPr>
          <w:t>Arrêté n° 184 CM</w:t>
        </w:r>
      </w:hyperlink>
      <w:r w:rsidR="006B6047" w:rsidRPr="0075392C">
        <w:rPr>
          <w:rFonts w:eastAsia="Times New Roman" w:cstheme="minorHAnsi"/>
          <w:lang w:eastAsia="fr-FR"/>
        </w:rPr>
        <w:t xml:space="preserve"> du 17 février 2010 fixant les conditions d’hygiène applicables dans les établissements entreposant des denrées alimentaires animales ou d’origine animale nécessitant une conservation à température dirigée</w:t>
      </w:r>
    </w:p>
    <w:p w:rsidR="006B6047" w:rsidRPr="0075392C" w:rsidRDefault="006B6047" w:rsidP="006B6047">
      <w:pPr>
        <w:spacing w:after="0" w:line="240" w:lineRule="auto"/>
        <w:ind w:left="360"/>
        <w:outlineLvl w:val="2"/>
        <w:rPr>
          <w:rFonts w:eastAsia="Times New Roman" w:cstheme="minorHAnsi"/>
          <w:b/>
          <w:bCs/>
          <w:lang w:eastAsia="fr-FR"/>
        </w:rPr>
      </w:pPr>
      <w:r w:rsidRPr="0075392C">
        <w:rPr>
          <w:rFonts w:eastAsia="Times New Roman" w:cstheme="minorHAnsi"/>
          <w:b/>
          <w:bCs/>
          <w:lang w:eastAsia="fr-FR"/>
        </w:rPr>
        <w:t>Durée de conservation des denrées</w:t>
      </w:r>
    </w:p>
    <w:p w:rsidR="006B6047" w:rsidRPr="0075392C" w:rsidRDefault="00C1099A" w:rsidP="006B6047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eastAsia="Times New Roman" w:cstheme="minorHAnsi"/>
          <w:lang w:eastAsia="fr-FR"/>
        </w:rPr>
      </w:pPr>
      <w:hyperlink r:id="rId12" w:history="1">
        <w:r w:rsidR="006B6047" w:rsidRPr="0075392C">
          <w:rPr>
            <w:rFonts w:eastAsia="Times New Roman" w:cstheme="minorHAnsi"/>
            <w:b/>
            <w:bCs/>
            <w:color w:val="0000FF"/>
            <w:u w:val="single"/>
            <w:lang w:eastAsia="fr-FR"/>
          </w:rPr>
          <w:t>Arrêté n° 1119 CM</w:t>
        </w:r>
      </w:hyperlink>
      <w:r w:rsidR="006B6047" w:rsidRPr="0075392C">
        <w:rPr>
          <w:rFonts w:eastAsia="Times New Roman" w:cstheme="minorHAnsi"/>
          <w:lang w:eastAsia="fr-FR"/>
        </w:rPr>
        <w:t xml:space="preserve"> du 9 octobre 2006 relatif aux durées maximales de conservation de certaines denrées alimentaires animales ou d’origine animale</w:t>
      </w:r>
    </w:p>
    <w:p w:rsidR="006B6047" w:rsidRPr="0075392C" w:rsidRDefault="006B6047" w:rsidP="006B6047">
      <w:pPr>
        <w:spacing w:after="0" w:line="240" w:lineRule="auto"/>
        <w:ind w:left="360"/>
        <w:outlineLvl w:val="2"/>
        <w:rPr>
          <w:rFonts w:eastAsia="Times New Roman" w:cstheme="minorHAnsi"/>
          <w:b/>
          <w:bCs/>
          <w:lang w:eastAsia="fr-FR"/>
        </w:rPr>
      </w:pPr>
      <w:r w:rsidRPr="0075392C">
        <w:rPr>
          <w:rFonts w:eastAsia="Times New Roman" w:cstheme="minorHAnsi"/>
          <w:b/>
          <w:bCs/>
          <w:lang w:eastAsia="fr-FR"/>
        </w:rPr>
        <w:t>Critères microbiologiques</w:t>
      </w:r>
    </w:p>
    <w:p w:rsidR="006B6047" w:rsidRPr="0075392C" w:rsidRDefault="00C1099A" w:rsidP="006B6047">
      <w:pPr>
        <w:numPr>
          <w:ilvl w:val="0"/>
          <w:numId w:val="6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eastAsia="Times New Roman" w:cstheme="minorHAnsi"/>
          <w:lang w:eastAsia="fr-FR"/>
        </w:rPr>
      </w:pPr>
      <w:hyperlink r:id="rId13" w:history="1">
        <w:r w:rsidR="006B6047" w:rsidRPr="0075392C">
          <w:rPr>
            <w:rFonts w:eastAsia="Times New Roman" w:cstheme="minorHAnsi"/>
            <w:b/>
            <w:bCs/>
            <w:color w:val="0000FF"/>
            <w:u w:val="single"/>
            <w:lang w:eastAsia="fr-FR"/>
          </w:rPr>
          <w:t>Arrêté n° 1391 CM</w:t>
        </w:r>
      </w:hyperlink>
      <w:r w:rsidR="006B6047" w:rsidRPr="0075392C">
        <w:rPr>
          <w:rFonts w:eastAsia="Times New Roman" w:cstheme="minorHAnsi"/>
          <w:lang w:eastAsia="fr-FR"/>
        </w:rPr>
        <w:t xml:space="preserve"> du 23 octobre 1998 relatif aux critères microbiologiques auxquels doivent satisfaire certaines denrées alimentaires d’origine animale</w:t>
      </w:r>
    </w:p>
    <w:p w:rsidR="006B6047" w:rsidRPr="0075392C" w:rsidRDefault="006B6047" w:rsidP="006B6047">
      <w:pPr>
        <w:spacing w:after="0" w:line="240" w:lineRule="auto"/>
        <w:ind w:left="360"/>
        <w:outlineLvl w:val="2"/>
        <w:rPr>
          <w:rFonts w:eastAsia="Times New Roman" w:cstheme="minorHAnsi"/>
          <w:b/>
          <w:bCs/>
          <w:lang w:eastAsia="fr-FR"/>
        </w:rPr>
      </w:pPr>
      <w:r w:rsidRPr="0075392C">
        <w:rPr>
          <w:rFonts w:eastAsia="Times New Roman" w:cstheme="minorHAnsi"/>
          <w:b/>
          <w:bCs/>
          <w:lang w:eastAsia="fr-FR"/>
        </w:rPr>
        <w:t>Étiquetage</w:t>
      </w:r>
    </w:p>
    <w:p w:rsidR="006B6047" w:rsidRPr="0075392C" w:rsidRDefault="00C1099A" w:rsidP="006B6047">
      <w:pPr>
        <w:numPr>
          <w:ilvl w:val="0"/>
          <w:numId w:val="7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eastAsia="Times New Roman" w:cstheme="minorHAnsi"/>
          <w:lang w:eastAsia="fr-FR"/>
        </w:rPr>
      </w:pPr>
      <w:hyperlink r:id="rId14" w:history="1">
        <w:r w:rsidR="006B6047" w:rsidRPr="0075392C">
          <w:rPr>
            <w:rFonts w:eastAsia="Times New Roman" w:cstheme="minorHAnsi"/>
            <w:b/>
            <w:bCs/>
            <w:color w:val="0000FF"/>
            <w:u w:val="single"/>
            <w:lang w:eastAsia="fr-FR"/>
          </w:rPr>
          <w:t>Délibération n° 98-189 APF</w:t>
        </w:r>
      </w:hyperlink>
      <w:r w:rsidR="006B6047" w:rsidRPr="0075392C">
        <w:rPr>
          <w:rFonts w:eastAsia="Times New Roman" w:cstheme="minorHAnsi"/>
          <w:lang w:eastAsia="fr-FR"/>
        </w:rPr>
        <w:t xml:space="preserve"> du 19 novembre 1998 réglementant l’information du consommateur en matière de denrées alimentaires au moyen de l’étiquetage</w:t>
      </w:r>
    </w:p>
    <w:p w:rsidR="006B6047" w:rsidRPr="0075392C" w:rsidRDefault="006B6047" w:rsidP="006B6047">
      <w:pPr>
        <w:spacing w:after="0" w:line="240" w:lineRule="auto"/>
        <w:ind w:left="360"/>
        <w:outlineLvl w:val="2"/>
        <w:rPr>
          <w:rFonts w:eastAsia="Times New Roman" w:cstheme="minorHAnsi"/>
          <w:b/>
          <w:bCs/>
          <w:lang w:eastAsia="fr-FR"/>
        </w:rPr>
      </w:pPr>
      <w:r w:rsidRPr="0075392C">
        <w:rPr>
          <w:rFonts w:eastAsia="Times New Roman" w:cstheme="minorHAnsi"/>
          <w:b/>
          <w:bCs/>
          <w:lang w:eastAsia="fr-FR"/>
        </w:rPr>
        <w:t>Sécurité du consommateur</w:t>
      </w:r>
    </w:p>
    <w:p w:rsidR="006B6047" w:rsidRPr="0075392C" w:rsidRDefault="00C1099A" w:rsidP="006B6047">
      <w:pPr>
        <w:numPr>
          <w:ilvl w:val="0"/>
          <w:numId w:val="8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eastAsia="Times New Roman" w:cstheme="minorHAnsi"/>
          <w:lang w:eastAsia="fr-FR"/>
        </w:rPr>
      </w:pPr>
      <w:hyperlink r:id="rId15" w:history="1">
        <w:r w:rsidR="006B6047" w:rsidRPr="0075392C">
          <w:rPr>
            <w:rFonts w:eastAsia="Times New Roman" w:cstheme="minorHAnsi"/>
            <w:b/>
            <w:bCs/>
            <w:color w:val="0000FF"/>
            <w:u w:val="single"/>
            <w:lang w:eastAsia="fr-FR"/>
          </w:rPr>
          <w:t>Loi du pays n° 2008-12</w:t>
        </w:r>
      </w:hyperlink>
      <w:r w:rsidR="006B6047" w:rsidRPr="0075392C">
        <w:rPr>
          <w:rFonts w:eastAsia="Times New Roman" w:cstheme="minorHAnsi"/>
          <w:lang w:eastAsia="fr-FR"/>
        </w:rPr>
        <w:t xml:space="preserve"> du 16 septembre 2008 modifiée relative à la certification, la conformité et la sécurité des produits et des services / homologuée</w:t>
      </w:r>
    </w:p>
    <w:p w:rsidR="006B6047" w:rsidRDefault="006B6047" w:rsidP="006B6047">
      <w:pPr>
        <w:spacing w:after="0" w:line="240" w:lineRule="auto"/>
      </w:pPr>
    </w:p>
    <w:p w:rsidR="006B6047" w:rsidRPr="007F5ACF" w:rsidRDefault="006B6047" w:rsidP="006B6047">
      <w:pPr>
        <w:pBdr>
          <w:bottom w:val="single" w:sz="4" w:space="1" w:color="auto"/>
        </w:pBdr>
        <w:spacing w:after="0" w:line="240" w:lineRule="auto"/>
        <w:rPr>
          <w:b/>
        </w:rPr>
      </w:pPr>
      <w:r w:rsidRPr="007F5ACF">
        <w:rPr>
          <w:b/>
        </w:rPr>
        <w:t>Les démarches  administratives pour lancer son activité</w:t>
      </w:r>
    </w:p>
    <w:p w:rsidR="006B6047" w:rsidRDefault="006B6047" w:rsidP="006B6047">
      <w:pPr>
        <w:spacing w:after="0" w:line="240" w:lineRule="auto"/>
        <w:ind w:left="708"/>
      </w:pPr>
    </w:p>
    <w:p w:rsidR="006B6047" w:rsidRDefault="006B6047" w:rsidP="006B6047">
      <w:pPr>
        <w:spacing w:after="0" w:line="240" w:lineRule="auto"/>
        <w:ind w:left="708"/>
      </w:pPr>
      <w:r>
        <w:t xml:space="preserve">La </w:t>
      </w:r>
      <w:hyperlink r:id="rId16" w:history="1">
        <w:r w:rsidRPr="00196A9D">
          <w:rPr>
            <w:rStyle w:val="Lienhypertexte"/>
          </w:rPr>
          <w:t>déclaration</w:t>
        </w:r>
      </w:hyperlink>
      <w:r>
        <w:t xml:space="preserve"> : </w:t>
      </w:r>
    </w:p>
    <w:p w:rsidR="006B6047" w:rsidRDefault="006B6047" w:rsidP="006B6047">
      <w:pPr>
        <w:spacing w:after="0" w:line="240" w:lineRule="auto"/>
        <w:ind w:left="1416"/>
      </w:pPr>
      <w:r w:rsidRPr="00957D25">
        <w:t>Éléments et pièces requises</w:t>
      </w:r>
      <w:r>
        <w:t>, complétude du dossier et contrôles du CHSP</w:t>
      </w:r>
    </w:p>
    <w:p w:rsidR="006B6047" w:rsidRDefault="006B6047" w:rsidP="006B6047">
      <w:pPr>
        <w:spacing w:after="0" w:line="240" w:lineRule="auto"/>
        <w:ind w:left="1416"/>
      </w:pPr>
      <w:r>
        <w:t>Etablissement fixe / établissement mobile ou provisoire</w:t>
      </w:r>
    </w:p>
    <w:p w:rsidR="006B6047" w:rsidRDefault="006B6047" w:rsidP="006B6047">
      <w:pPr>
        <w:spacing w:after="0" w:line="240" w:lineRule="auto"/>
        <w:ind w:left="708"/>
      </w:pPr>
      <w:r>
        <w:t>L’</w:t>
      </w:r>
      <w:hyperlink r:id="rId17" w:history="1">
        <w:r w:rsidRPr="00196A9D">
          <w:rPr>
            <w:rStyle w:val="Lienhypertexte"/>
          </w:rPr>
          <w:t>autorisation</w:t>
        </w:r>
      </w:hyperlink>
      <w:r>
        <w:t xml:space="preserve"> : </w:t>
      </w:r>
    </w:p>
    <w:p w:rsidR="006B6047" w:rsidRDefault="006B6047" w:rsidP="006B6047">
      <w:pPr>
        <w:spacing w:after="0" w:line="240" w:lineRule="auto"/>
        <w:ind w:left="1416"/>
      </w:pPr>
      <w:r>
        <w:t>Principes et activités concernées, commerce entre professionnels</w:t>
      </w:r>
    </w:p>
    <w:p w:rsidR="006B6047" w:rsidRDefault="006B6047" w:rsidP="006B6047">
      <w:pPr>
        <w:spacing w:after="0" w:line="240" w:lineRule="auto"/>
        <w:ind w:left="1416"/>
      </w:pPr>
      <w:r w:rsidRPr="00957D25">
        <w:t>Éléments et pièces requises</w:t>
      </w:r>
      <w:r>
        <w:t>, complétude du dossier et contrôles du CHSP</w:t>
      </w:r>
    </w:p>
    <w:p w:rsidR="006B6047" w:rsidRDefault="006B6047" w:rsidP="006B6047">
      <w:pPr>
        <w:spacing w:after="0" w:line="240" w:lineRule="auto"/>
        <w:ind w:left="708"/>
      </w:pPr>
      <w:r>
        <w:t xml:space="preserve">La </w:t>
      </w:r>
      <w:hyperlink r:id="rId18" w:history="1">
        <w:r w:rsidRPr="00196A9D">
          <w:rPr>
            <w:rStyle w:val="Lienhypertexte"/>
          </w:rPr>
          <w:t>demande de PC et l’avis HA</w:t>
        </w:r>
      </w:hyperlink>
      <w:r>
        <w:t xml:space="preserve"> : </w:t>
      </w:r>
    </w:p>
    <w:p w:rsidR="006B6047" w:rsidRDefault="006B6047" w:rsidP="006B6047">
      <w:pPr>
        <w:spacing w:after="0" w:line="240" w:lineRule="auto"/>
        <w:ind w:left="1416"/>
      </w:pPr>
      <w:proofErr w:type="gramStart"/>
      <w:r w:rsidRPr="00957D25">
        <w:t>éléments</w:t>
      </w:r>
      <w:proofErr w:type="gramEnd"/>
      <w:r w:rsidRPr="00957D25">
        <w:t xml:space="preserve"> et pièces requises</w:t>
      </w:r>
      <w:r>
        <w:t xml:space="preserve">, complétude du dossier et contrôles du CHSP, </w:t>
      </w:r>
    </w:p>
    <w:p w:rsidR="006B6047" w:rsidRDefault="006B6047" w:rsidP="006B6047">
      <w:pPr>
        <w:spacing w:after="0" w:line="240" w:lineRule="auto"/>
        <w:ind w:left="1416"/>
      </w:pPr>
      <w:proofErr w:type="gramStart"/>
      <w:r>
        <w:t>conformité</w:t>
      </w:r>
      <w:proofErr w:type="gramEnd"/>
      <w:r>
        <w:t xml:space="preserve"> des locaux, visite de conformité, dispositif d’assainissement des eaux usées</w:t>
      </w:r>
    </w:p>
    <w:p w:rsidR="006B6047" w:rsidRDefault="00C1099A" w:rsidP="006B6047">
      <w:pPr>
        <w:spacing w:after="0" w:line="240" w:lineRule="auto"/>
        <w:ind w:left="708"/>
      </w:pPr>
      <w:hyperlink r:id="rId19" w:history="1">
        <w:r w:rsidR="006B6047" w:rsidRPr="00196A9D">
          <w:rPr>
            <w:rStyle w:val="Lienhypertexte"/>
          </w:rPr>
          <w:t>Chronologie des démarches</w:t>
        </w:r>
      </w:hyperlink>
      <w:r w:rsidR="006B6047">
        <w:t xml:space="preserve"> </w:t>
      </w:r>
    </w:p>
    <w:p w:rsidR="006B6047" w:rsidRDefault="006B6047" w:rsidP="006B6047">
      <w:pPr>
        <w:spacing w:after="0" w:line="240" w:lineRule="auto"/>
        <w:ind w:left="1416"/>
      </w:pPr>
      <w:r>
        <w:t>Succession des demandes et pour l’obtention d’une patente, d’un récépissé de déclaration, d’une subvention (1ères tranches puis totalité).</w:t>
      </w:r>
    </w:p>
    <w:p w:rsidR="006B6047" w:rsidRDefault="006B6047" w:rsidP="006B6047">
      <w:pPr>
        <w:spacing w:after="0" w:line="240" w:lineRule="auto"/>
        <w:ind w:left="1416"/>
      </w:pPr>
      <w:r>
        <w:t>Attestation de formation</w:t>
      </w:r>
    </w:p>
    <w:p w:rsidR="006B6047" w:rsidRDefault="006B6047" w:rsidP="006B6047">
      <w:pPr>
        <w:spacing w:after="0" w:line="240" w:lineRule="auto"/>
      </w:pPr>
    </w:p>
    <w:p w:rsidR="006B6047" w:rsidRPr="007F5ACF" w:rsidRDefault="006B6047" w:rsidP="006B6047">
      <w:pPr>
        <w:pBdr>
          <w:bottom w:val="single" w:sz="4" w:space="1" w:color="auto"/>
        </w:pBdr>
        <w:spacing w:after="0" w:line="240" w:lineRule="auto"/>
        <w:rPr>
          <w:b/>
        </w:rPr>
      </w:pPr>
      <w:r w:rsidRPr="007F5ACF">
        <w:rPr>
          <w:b/>
        </w:rPr>
        <w:t>Les risques d’origine alimentaire</w:t>
      </w:r>
    </w:p>
    <w:p w:rsidR="006B6047" w:rsidRDefault="006B6047" w:rsidP="006B6047">
      <w:pPr>
        <w:spacing w:after="0" w:line="240" w:lineRule="auto"/>
        <w:ind w:left="708"/>
      </w:pPr>
    </w:p>
    <w:p w:rsidR="006B6047" w:rsidRDefault="006B6047" w:rsidP="006B6047">
      <w:pPr>
        <w:spacing w:after="0" w:line="240" w:lineRule="auto"/>
        <w:ind w:left="708"/>
      </w:pPr>
      <w:r>
        <w:t xml:space="preserve">Risques microbiologiques : TIAC, salmonellose, listériose, </w:t>
      </w:r>
      <w:proofErr w:type="spellStart"/>
      <w:r>
        <w:t>angiostrongylose</w:t>
      </w:r>
      <w:proofErr w:type="spellEnd"/>
      <w:r>
        <w:t xml:space="preserve">, </w:t>
      </w:r>
    </w:p>
    <w:p w:rsidR="006B6047" w:rsidRDefault="006B6047" w:rsidP="006B6047">
      <w:pPr>
        <w:spacing w:after="0" w:line="240" w:lineRule="auto"/>
        <w:ind w:left="1416"/>
      </w:pPr>
      <w:r>
        <w:t>Distinction entre altération des denrées et contamination par un agent pathogène</w:t>
      </w:r>
    </w:p>
    <w:p w:rsidR="006B6047" w:rsidRDefault="006B6047" w:rsidP="006B6047">
      <w:pPr>
        <w:spacing w:after="0" w:line="240" w:lineRule="auto"/>
        <w:ind w:left="708"/>
      </w:pPr>
      <w:r>
        <w:t>Risques toxiques : mycotoxines (moisissures) toxines bactériennes (</w:t>
      </w:r>
      <w:proofErr w:type="spellStart"/>
      <w:r>
        <w:t>staph</w:t>
      </w:r>
      <w:proofErr w:type="spellEnd"/>
      <w:r>
        <w:t xml:space="preserve">, botulisme, ..), </w:t>
      </w:r>
    </w:p>
    <w:p w:rsidR="006B6047" w:rsidRDefault="006B6047" w:rsidP="006B6047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</w:rPr>
      </w:pPr>
    </w:p>
    <w:p w:rsidR="006B6047" w:rsidRPr="0029510B" w:rsidRDefault="006B6047" w:rsidP="006B6047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</w:rPr>
      </w:pPr>
      <w:r w:rsidRPr="0029510B">
        <w:rPr>
          <w:b/>
          <w:sz w:val="24"/>
          <w:szCs w:val="24"/>
        </w:rPr>
        <w:t xml:space="preserve">La </w:t>
      </w:r>
      <w:hyperlink r:id="rId20" w:history="1">
        <w:r w:rsidRPr="00196A9D">
          <w:rPr>
            <w:rStyle w:val="Lienhypertexte"/>
            <w:b/>
            <w:sz w:val="24"/>
            <w:szCs w:val="24"/>
          </w:rPr>
          <w:t>conception des locaux</w:t>
        </w:r>
      </w:hyperlink>
      <w:r w:rsidRPr="0029510B">
        <w:rPr>
          <w:b/>
          <w:sz w:val="24"/>
          <w:szCs w:val="24"/>
        </w:rPr>
        <w:t xml:space="preserve"> (établissement fixe)</w:t>
      </w:r>
    </w:p>
    <w:p w:rsidR="006B6047" w:rsidRDefault="006B6047" w:rsidP="006B6047">
      <w:pPr>
        <w:spacing w:after="0" w:line="240" w:lineRule="auto"/>
      </w:pPr>
    </w:p>
    <w:p w:rsidR="006B6047" w:rsidRDefault="006B6047" w:rsidP="006B6047">
      <w:pPr>
        <w:spacing w:after="0" w:line="240" w:lineRule="auto"/>
      </w:pPr>
      <w:r>
        <w:t>Les différents locaux et espaces requis</w:t>
      </w:r>
      <w:r w:rsidRPr="00FA1B63">
        <w:t xml:space="preserve"> </w:t>
      </w:r>
    </w:p>
    <w:p w:rsidR="006B6047" w:rsidRDefault="006B6047" w:rsidP="006B6047">
      <w:pPr>
        <w:spacing w:after="0" w:line="240" w:lineRule="auto"/>
        <w:ind w:left="708"/>
      </w:pPr>
      <w:r>
        <w:t>Vestiaires, sanitaires, déchets, stockage des denrées, stockage des emballages, stockage des produits d’entretien, stockage du matériel, préparations froides/chaudes</w:t>
      </w:r>
    </w:p>
    <w:p w:rsidR="006B6047" w:rsidRDefault="006B6047" w:rsidP="006B6047">
      <w:pPr>
        <w:spacing w:after="0" w:line="240" w:lineRule="auto"/>
      </w:pPr>
      <w:r>
        <w:t xml:space="preserve">Disposition, taille et agencement des locaux : </w:t>
      </w:r>
    </w:p>
    <w:p w:rsidR="006B6047" w:rsidRDefault="006B6047" w:rsidP="006B6047">
      <w:pPr>
        <w:spacing w:after="0" w:line="240" w:lineRule="auto"/>
        <w:ind w:left="708"/>
      </w:pPr>
      <w:r>
        <w:t>Principe de la séparation des secteurs sains et souillés</w:t>
      </w:r>
    </w:p>
    <w:p w:rsidR="006B6047" w:rsidRDefault="006B6047" w:rsidP="006B6047">
      <w:pPr>
        <w:spacing w:after="0" w:line="240" w:lineRule="auto"/>
        <w:ind w:left="708"/>
      </w:pPr>
      <w:r>
        <w:t>Principe de la marche en avant</w:t>
      </w:r>
    </w:p>
    <w:p w:rsidR="006B6047" w:rsidRDefault="006B6047" w:rsidP="006B6047">
      <w:pPr>
        <w:spacing w:after="0" w:line="240" w:lineRule="auto"/>
      </w:pPr>
      <w:r>
        <w:t>Aménagements d’hygiène générale :</w:t>
      </w:r>
    </w:p>
    <w:p w:rsidR="006B6047" w:rsidRDefault="006B6047" w:rsidP="006B6047">
      <w:pPr>
        <w:spacing w:after="0" w:line="240" w:lineRule="auto"/>
        <w:ind w:left="708"/>
      </w:pPr>
      <w:r>
        <w:t>Eau potable, eau chaude, assainissement, ventilation, climatisation, éclairage</w:t>
      </w:r>
    </w:p>
    <w:p w:rsidR="006B6047" w:rsidRDefault="00C1099A" w:rsidP="006B6047">
      <w:pPr>
        <w:spacing w:after="0" w:line="240" w:lineRule="auto"/>
      </w:pPr>
      <w:hyperlink r:id="rId21" w:history="1">
        <w:r w:rsidR="006B6047" w:rsidRPr="00196A9D">
          <w:rPr>
            <w:rStyle w:val="Lienhypertexte"/>
          </w:rPr>
          <w:t>Vestiaires</w:t>
        </w:r>
      </w:hyperlink>
    </w:p>
    <w:p w:rsidR="006B6047" w:rsidRDefault="006B6047" w:rsidP="006B6047">
      <w:pPr>
        <w:spacing w:after="0" w:line="240" w:lineRule="auto"/>
        <w:ind w:left="708"/>
      </w:pPr>
      <w:r>
        <w:t>Conception et équipement : casiers séparant la tenue civile de la tenue de travail</w:t>
      </w:r>
    </w:p>
    <w:p w:rsidR="006B6047" w:rsidRDefault="00C1099A" w:rsidP="006B6047">
      <w:pPr>
        <w:spacing w:after="0" w:line="240" w:lineRule="auto"/>
      </w:pPr>
      <w:hyperlink r:id="rId22" w:history="1">
        <w:r w:rsidR="006B6047" w:rsidRPr="00196A9D">
          <w:rPr>
            <w:rStyle w:val="Lienhypertexte"/>
          </w:rPr>
          <w:t>Sanitaires</w:t>
        </w:r>
      </w:hyperlink>
    </w:p>
    <w:p w:rsidR="006B6047" w:rsidRDefault="006B6047" w:rsidP="006B6047">
      <w:pPr>
        <w:spacing w:after="0" w:line="240" w:lineRule="auto"/>
        <w:ind w:left="708"/>
      </w:pPr>
      <w:r>
        <w:t xml:space="preserve">Conception : sas, siphon de sol, </w:t>
      </w:r>
    </w:p>
    <w:p w:rsidR="006B6047" w:rsidRDefault="006B6047" w:rsidP="006B6047">
      <w:pPr>
        <w:spacing w:after="0" w:line="240" w:lineRule="auto"/>
        <w:ind w:left="708"/>
      </w:pPr>
      <w:r>
        <w:t>Équipement : lavabo à commande non manuelle, savon, essuie-mains à usage unique)</w:t>
      </w:r>
    </w:p>
    <w:p w:rsidR="006B6047" w:rsidRDefault="006B6047" w:rsidP="006B6047">
      <w:pPr>
        <w:spacing w:after="0" w:line="240" w:lineRule="auto"/>
      </w:pPr>
      <w:r>
        <w:t>Locaux de production (travail des denrées)</w:t>
      </w:r>
    </w:p>
    <w:p w:rsidR="006B6047" w:rsidRDefault="006B6047" w:rsidP="006B6047">
      <w:pPr>
        <w:spacing w:after="0" w:line="240" w:lineRule="auto"/>
        <w:ind w:left="708"/>
      </w:pPr>
      <w:r>
        <w:t xml:space="preserve">Conception : siphon de sol, Sas séparant des locaux de travail et de stockage des denrées, </w:t>
      </w:r>
    </w:p>
    <w:p w:rsidR="006B6047" w:rsidRDefault="006B6047" w:rsidP="006B6047">
      <w:pPr>
        <w:spacing w:after="0" w:line="240" w:lineRule="auto"/>
        <w:ind w:left="708"/>
      </w:pPr>
      <w:r>
        <w:t>Matériel et équipements</w:t>
      </w:r>
    </w:p>
    <w:p w:rsidR="006B6047" w:rsidRDefault="006B6047" w:rsidP="006B6047">
      <w:pPr>
        <w:spacing w:after="0" w:line="240" w:lineRule="auto"/>
        <w:ind w:left="1416"/>
      </w:pPr>
      <w:proofErr w:type="gramStart"/>
      <w:r>
        <w:lastRenderedPageBreak/>
        <w:t>lavabo</w:t>
      </w:r>
      <w:proofErr w:type="gramEnd"/>
      <w:r>
        <w:t xml:space="preserve"> à commande non manuelle équipé de savon et essuie-mains à usage unique dans les locaux </w:t>
      </w:r>
    </w:p>
    <w:p w:rsidR="006B6047" w:rsidRDefault="006B6047" w:rsidP="006B6047">
      <w:pPr>
        <w:spacing w:after="0" w:line="240" w:lineRule="auto"/>
      </w:pPr>
      <w:r>
        <w:t>Matériaux</w:t>
      </w:r>
    </w:p>
    <w:p w:rsidR="006B6047" w:rsidRDefault="006B6047" w:rsidP="006B6047">
      <w:pPr>
        <w:spacing w:after="0" w:line="240" w:lineRule="auto"/>
        <w:ind w:left="708"/>
      </w:pPr>
      <w:r>
        <w:t>Aptitude au nettoyage et à la désinfection</w:t>
      </w:r>
    </w:p>
    <w:p w:rsidR="006B6047" w:rsidRDefault="006B6047" w:rsidP="006B6047">
      <w:pPr>
        <w:spacing w:after="0" w:line="240" w:lineRule="auto"/>
      </w:pPr>
      <w:r w:rsidRPr="0029510B">
        <w:t>Etablissement mobile ou provisoire</w:t>
      </w:r>
      <w:r>
        <w:t xml:space="preserve"> : </w:t>
      </w:r>
    </w:p>
    <w:p w:rsidR="006B6047" w:rsidRDefault="006B6047" w:rsidP="006B6047">
      <w:pPr>
        <w:spacing w:after="0" w:line="240" w:lineRule="auto"/>
        <w:ind w:left="708"/>
      </w:pPr>
      <w:r>
        <w:t>Conception des installations et équipement</w:t>
      </w:r>
    </w:p>
    <w:p w:rsidR="006B6047" w:rsidRDefault="006B6047" w:rsidP="006B6047">
      <w:pPr>
        <w:spacing w:after="0" w:line="240" w:lineRule="auto"/>
      </w:pPr>
    </w:p>
    <w:p w:rsidR="006B6047" w:rsidRPr="0029510B" w:rsidRDefault="006B6047" w:rsidP="006B6047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</w:rPr>
      </w:pPr>
      <w:r w:rsidRPr="0029510B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 xml:space="preserve">es </w:t>
      </w:r>
      <w:hyperlink r:id="rId23" w:history="1">
        <w:r w:rsidRPr="00196A9D">
          <w:rPr>
            <w:rStyle w:val="Lienhypertexte"/>
            <w:b/>
            <w:sz w:val="24"/>
            <w:szCs w:val="24"/>
          </w:rPr>
          <w:t>bonnes pratiques d’hygiène</w:t>
        </w:r>
      </w:hyperlink>
    </w:p>
    <w:p w:rsidR="006B6047" w:rsidRDefault="006B6047" w:rsidP="006B6047">
      <w:pPr>
        <w:spacing w:after="0" w:line="240" w:lineRule="auto"/>
      </w:pPr>
    </w:p>
    <w:p w:rsidR="006B6047" w:rsidRDefault="006B6047" w:rsidP="006B6047">
      <w:pPr>
        <w:spacing w:after="0" w:line="240" w:lineRule="auto"/>
      </w:pPr>
      <w:r>
        <w:t>Entretien, propreté, rangement, maintenance</w:t>
      </w:r>
    </w:p>
    <w:p w:rsidR="006B6047" w:rsidRDefault="006B6047" w:rsidP="006B6047">
      <w:pPr>
        <w:spacing w:after="0" w:line="240" w:lineRule="auto"/>
      </w:pPr>
      <w:r>
        <w:t>Nettoyage et désinfection</w:t>
      </w:r>
    </w:p>
    <w:p w:rsidR="006B6047" w:rsidRDefault="006B6047" w:rsidP="006B6047">
      <w:pPr>
        <w:spacing w:after="0" w:line="240" w:lineRule="auto"/>
        <w:ind w:left="708"/>
      </w:pPr>
      <w:r>
        <w:t>Equipements, méthodes et qualité des produits de nettoyage</w:t>
      </w:r>
    </w:p>
    <w:p w:rsidR="006B6047" w:rsidRDefault="006B6047" w:rsidP="006B6047">
      <w:pPr>
        <w:spacing w:after="0" w:line="240" w:lineRule="auto"/>
        <w:ind w:left="708"/>
      </w:pPr>
      <w:r>
        <w:t>Plan de nettoyage et désinfection</w:t>
      </w:r>
    </w:p>
    <w:p w:rsidR="006B6047" w:rsidRDefault="006B6047" w:rsidP="006B6047">
      <w:pPr>
        <w:spacing w:after="0" w:line="240" w:lineRule="auto"/>
      </w:pPr>
      <w:r>
        <w:t>Plan de lutte contre les nuisibles</w:t>
      </w:r>
    </w:p>
    <w:p w:rsidR="006B6047" w:rsidRDefault="00C1099A" w:rsidP="006B6047">
      <w:pPr>
        <w:spacing w:after="0" w:line="240" w:lineRule="auto"/>
      </w:pPr>
      <w:hyperlink r:id="rId24" w:history="1">
        <w:r w:rsidR="006B6047" w:rsidRPr="00196A9D">
          <w:rPr>
            <w:rStyle w:val="Lienhypertexte"/>
          </w:rPr>
          <w:t>Personnel </w:t>
        </w:r>
      </w:hyperlink>
      <w:r w:rsidR="006B6047">
        <w:t xml:space="preserve"> </w:t>
      </w:r>
    </w:p>
    <w:p w:rsidR="006B6047" w:rsidRDefault="006B6047" w:rsidP="006B6047">
      <w:pPr>
        <w:spacing w:after="0" w:line="240" w:lineRule="auto"/>
        <w:ind w:left="708"/>
      </w:pPr>
      <w:r>
        <w:t>Tenue professionnelle</w:t>
      </w:r>
    </w:p>
    <w:p w:rsidR="006B6047" w:rsidRDefault="006B6047" w:rsidP="006B6047">
      <w:pPr>
        <w:spacing w:after="0" w:line="240" w:lineRule="auto"/>
        <w:ind w:left="708"/>
      </w:pPr>
      <w:r>
        <w:t xml:space="preserve">Hygiène générale et état de santé, </w:t>
      </w:r>
      <w:r w:rsidRPr="0065184B">
        <w:t xml:space="preserve">hygiène </w:t>
      </w:r>
      <w:r>
        <w:t xml:space="preserve">et lavage </w:t>
      </w:r>
      <w:r w:rsidRPr="0065184B">
        <w:t>des mains</w:t>
      </w:r>
    </w:p>
    <w:p w:rsidR="006B6047" w:rsidRDefault="006B6047" w:rsidP="006B6047">
      <w:pPr>
        <w:spacing w:after="0" w:line="240" w:lineRule="auto"/>
        <w:ind w:left="708"/>
      </w:pPr>
      <w:r>
        <w:t>Pratiques (dont pratiques proscrites)</w:t>
      </w:r>
    </w:p>
    <w:p w:rsidR="006B6047" w:rsidRDefault="006B6047" w:rsidP="006B6047">
      <w:pPr>
        <w:spacing w:after="0" w:line="240" w:lineRule="auto"/>
        <w:ind w:left="708"/>
      </w:pPr>
      <w:r w:rsidRPr="00A8163C">
        <w:t>Manipulations des denrées</w:t>
      </w:r>
    </w:p>
    <w:p w:rsidR="006B6047" w:rsidRDefault="006B6047" w:rsidP="006B6047">
      <w:pPr>
        <w:spacing w:after="0" w:line="240" w:lineRule="auto"/>
      </w:pPr>
      <w:r>
        <w:t>Approvisionnement</w:t>
      </w:r>
    </w:p>
    <w:p w:rsidR="006B6047" w:rsidRDefault="006B6047" w:rsidP="006B6047">
      <w:pPr>
        <w:spacing w:after="0" w:line="240" w:lineRule="auto"/>
        <w:ind w:left="708"/>
      </w:pPr>
      <w:r>
        <w:t>Fournisseurs autorisés – vérifications du client</w:t>
      </w:r>
    </w:p>
    <w:p w:rsidR="006B6047" w:rsidRDefault="006B6047" w:rsidP="006B6047">
      <w:pPr>
        <w:spacing w:after="0" w:line="240" w:lineRule="auto"/>
        <w:ind w:left="708"/>
      </w:pPr>
      <w:r>
        <w:t>Contrôle des matières premières, intégrité, contrôle des DLC</w:t>
      </w:r>
    </w:p>
    <w:p w:rsidR="006B6047" w:rsidRDefault="006B6047" w:rsidP="006B6047">
      <w:pPr>
        <w:spacing w:after="0" w:line="240" w:lineRule="auto"/>
      </w:pPr>
      <w:r>
        <w:t>Entreposage</w:t>
      </w:r>
    </w:p>
    <w:p w:rsidR="006B6047" w:rsidRDefault="006B6047" w:rsidP="006B6047">
      <w:pPr>
        <w:spacing w:after="0" w:line="240" w:lineRule="auto"/>
        <w:ind w:left="708"/>
      </w:pPr>
      <w:r>
        <w:t>Protection des denrées (premières, intermédiaires et finies)</w:t>
      </w:r>
    </w:p>
    <w:p w:rsidR="006B6047" w:rsidRDefault="006B6047" w:rsidP="006B6047">
      <w:pPr>
        <w:spacing w:after="0" w:line="240" w:lineRule="auto"/>
        <w:ind w:left="708"/>
      </w:pPr>
      <w:r>
        <w:t>Identification des denrées (premières, intermédiaires et finies)</w:t>
      </w:r>
    </w:p>
    <w:p w:rsidR="006B6047" w:rsidRDefault="006B6047" w:rsidP="006B6047">
      <w:pPr>
        <w:spacing w:after="0" w:line="240" w:lineRule="auto"/>
        <w:ind w:left="708"/>
      </w:pPr>
      <w:r w:rsidRPr="004F372C">
        <w:t>Entreposage</w:t>
      </w:r>
      <w:r>
        <w:t xml:space="preserve"> des</w:t>
      </w:r>
      <w:r w:rsidRPr="004F372C">
        <w:t xml:space="preserve"> emballages</w:t>
      </w:r>
      <w:r>
        <w:t>, du matériel, des produits d’entretien,</w:t>
      </w:r>
    </w:p>
    <w:p w:rsidR="006B6047" w:rsidRDefault="00C1099A" w:rsidP="006B6047">
      <w:pPr>
        <w:spacing w:after="0" w:line="240" w:lineRule="auto"/>
      </w:pPr>
      <w:hyperlink r:id="rId25" w:history="1">
        <w:r w:rsidR="006B6047" w:rsidRPr="00196A9D">
          <w:rPr>
            <w:rStyle w:val="Lienhypertexte"/>
          </w:rPr>
          <w:t>Traçabilité des productions</w:t>
        </w:r>
      </w:hyperlink>
    </w:p>
    <w:p w:rsidR="006B6047" w:rsidRDefault="006B6047" w:rsidP="006B6047">
      <w:pPr>
        <w:spacing w:after="0" w:line="240" w:lineRule="auto"/>
        <w:ind w:left="708"/>
      </w:pPr>
      <w:r>
        <w:t>Etiquetage des produits finis (DLC, mentions règlementaires)</w:t>
      </w:r>
    </w:p>
    <w:p w:rsidR="006B6047" w:rsidRDefault="006B6047" w:rsidP="006B6047">
      <w:pPr>
        <w:spacing w:after="0" w:line="240" w:lineRule="auto"/>
        <w:ind w:left="708"/>
      </w:pPr>
      <w:r>
        <w:t>Cahier de production</w:t>
      </w:r>
    </w:p>
    <w:p w:rsidR="006B6047" w:rsidRDefault="006B6047" w:rsidP="006B6047">
      <w:pPr>
        <w:spacing w:after="0" w:line="240" w:lineRule="auto"/>
      </w:pPr>
      <w:r>
        <w:t>Gestion des denrées non conformes</w:t>
      </w:r>
    </w:p>
    <w:p w:rsidR="006B6047" w:rsidRDefault="006B6047" w:rsidP="006B6047">
      <w:pPr>
        <w:spacing w:after="0" w:line="240" w:lineRule="auto"/>
        <w:ind w:left="708"/>
      </w:pPr>
      <w:r>
        <w:t>Autocontrôles microbiologiques, plan d’autocontrôle</w:t>
      </w:r>
    </w:p>
    <w:p w:rsidR="006B6047" w:rsidRDefault="006B6047" w:rsidP="006B6047">
      <w:pPr>
        <w:spacing w:after="0" w:line="240" w:lineRule="auto"/>
        <w:ind w:left="708"/>
      </w:pPr>
      <w:r w:rsidRPr="00A8163C">
        <w:t>Réforme</w:t>
      </w:r>
      <w:r>
        <w:t xml:space="preserve"> des denrées non conformes, denrées impropres à la consommation</w:t>
      </w:r>
    </w:p>
    <w:p w:rsidR="006B6047" w:rsidRDefault="00C1099A" w:rsidP="006B6047">
      <w:pPr>
        <w:spacing w:after="0" w:line="240" w:lineRule="auto"/>
      </w:pPr>
      <w:hyperlink r:id="rId26" w:history="1">
        <w:r w:rsidR="006B6047" w:rsidRPr="00196A9D">
          <w:rPr>
            <w:rStyle w:val="Lienhypertexte"/>
          </w:rPr>
          <w:t>Maîtrise des températures</w:t>
        </w:r>
      </w:hyperlink>
      <w:r w:rsidR="006B6047">
        <w:t xml:space="preserve"> </w:t>
      </w:r>
    </w:p>
    <w:p w:rsidR="006B6047" w:rsidRDefault="006B6047" w:rsidP="006B6047">
      <w:pPr>
        <w:spacing w:after="0" w:line="240" w:lineRule="auto"/>
        <w:ind w:left="708"/>
      </w:pPr>
      <w:r>
        <w:t>Températures requises : réfrigérateurs &amp; chambres froides positives, congélateurs &amp; chambres froides négatives, liaison chaude</w:t>
      </w:r>
    </w:p>
    <w:p w:rsidR="006B6047" w:rsidRDefault="006B6047" w:rsidP="006B6047">
      <w:pPr>
        <w:spacing w:after="0" w:line="240" w:lineRule="auto"/>
        <w:ind w:left="708"/>
      </w:pPr>
      <w:r>
        <w:t>Système de surveillance des températures, procédure en cas de panne</w:t>
      </w:r>
    </w:p>
    <w:p w:rsidR="006B6047" w:rsidRDefault="006B6047" w:rsidP="006B6047">
      <w:pPr>
        <w:spacing w:after="0" w:line="240" w:lineRule="auto"/>
      </w:pPr>
      <w:r>
        <w:t>Opérations particulières </w:t>
      </w:r>
    </w:p>
    <w:p w:rsidR="006B6047" w:rsidRDefault="006B6047" w:rsidP="006B6047">
      <w:pPr>
        <w:spacing w:after="0" w:line="240" w:lineRule="auto"/>
        <w:ind w:left="708"/>
      </w:pPr>
      <w:r>
        <w:t>Congélation (équipement/traçabilité/étiquetage)</w:t>
      </w:r>
    </w:p>
    <w:p w:rsidR="006B6047" w:rsidRDefault="006B6047" w:rsidP="006B6047">
      <w:pPr>
        <w:spacing w:after="0" w:line="240" w:lineRule="auto"/>
        <w:ind w:left="708"/>
      </w:pPr>
      <w:r>
        <w:t>Décongélation (équipement/traçabilité/étiquetage)</w:t>
      </w:r>
    </w:p>
    <w:p w:rsidR="006B6047" w:rsidRDefault="006B6047" w:rsidP="006B6047">
      <w:pPr>
        <w:spacing w:after="0" w:line="240" w:lineRule="auto"/>
        <w:ind w:left="708"/>
      </w:pPr>
      <w:r>
        <w:t xml:space="preserve">Refroidissement rapide (équipement/traçabilité) </w:t>
      </w:r>
    </w:p>
    <w:p w:rsidR="006B6047" w:rsidRDefault="006B6047" w:rsidP="006B6047">
      <w:pPr>
        <w:spacing w:after="0" w:line="240" w:lineRule="auto"/>
        <w:ind w:left="708"/>
      </w:pPr>
      <w:r>
        <w:t>Décontamination des végétaux</w:t>
      </w:r>
    </w:p>
    <w:p w:rsidR="006B6047" w:rsidRDefault="006B6047" w:rsidP="006B6047">
      <w:pPr>
        <w:spacing w:after="0" w:line="240" w:lineRule="auto"/>
        <w:ind w:left="708"/>
      </w:pPr>
      <w:r>
        <w:t>Transport des denrées</w:t>
      </w:r>
    </w:p>
    <w:p w:rsidR="006B6047" w:rsidRDefault="00C1099A" w:rsidP="006B6047">
      <w:pPr>
        <w:spacing w:after="0" w:line="240" w:lineRule="auto"/>
      </w:pPr>
      <w:hyperlink r:id="rId27" w:history="1">
        <w:r w:rsidR="006B6047" w:rsidRPr="00196A9D">
          <w:rPr>
            <w:rStyle w:val="Lienhypertexte"/>
          </w:rPr>
          <w:t>Gestion des déchets</w:t>
        </w:r>
      </w:hyperlink>
    </w:p>
    <w:p w:rsidR="006B6047" w:rsidRDefault="00C1099A" w:rsidP="006B6047">
      <w:pPr>
        <w:spacing w:after="0" w:line="240" w:lineRule="auto"/>
        <w:ind w:left="708"/>
      </w:pPr>
      <w:hyperlink r:id="rId28" w:history="1">
        <w:r w:rsidR="006B6047" w:rsidRPr="00196A9D">
          <w:rPr>
            <w:rStyle w:val="Lienhypertexte"/>
          </w:rPr>
          <w:t>Conception du local</w:t>
        </w:r>
      </w:hyperlink>
      <w:r w:rsidR="006B6047">
        <w:t> : siphon, eau, protection contre les nuisibles</w:t>
      </w:r>
    </w:p>
    <w:p w:rsidR="006B6047" w:rsidRDefault="006B6047" w:rsidP="006B6047">
      <w:pPr>
        <w:spacing w:after="0" w:line="240" w:lineRule="auto"/>
        <w:ind w:left="708"/>
      </w:pPr>
      <w:r>
        <w:t>Equipements : container à ouverture non manuelle, nettoyage</w:t>
      </w:r>
    </w:p>
    <w:p w:rsidR="006B6047" w:rsidRDefault="006B6047" w:rsidP="006B6047">
      <w:pPr>
        <w:spacing w:after="0" w:line="240" w:lineRule="auto"/>
        <w:ind w:left="708"/>
      </w:pPr>
      <w:r>
        <w:t>Elimination des déchets</w:t>
      </w:r>
    </w:p>
    <w:p w:rsidR="006B6047" w:rsidRDefault="006B6047"/>
    <w:sectPr w:rsidR="006B6047" w:rsidSect="006B60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981"/>
    <w:multiLevelType w:val="multilevel"/>
    <w:tmpl w:val="1AE4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51274"/>
    <w:multiLevelType w:val="multilevel"/>
    <w:tmpl w:val="21FE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6F3B32"/>
    <w:multiLevelType w:val="multilevel"/>
    <w:tmpl w:val="6570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23332D"/>
    <w:multiLevelType w:val="multilevel"/>
    <w:tmpl w:val="0036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E23402"/>
    <w:multiLevelType w:val="multilevel"/>
    <w:tmpl w:val="C542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663A5D"/>
    <w:multiLevelType w:val="multilevel"/>
    <w:tmpl w:val="8DA8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72662A"/>
    <w:multiLevelType w:val="multilevel"/>
    <w:tmpl w:val="6726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66317A"/>
    <w:multiLevelType w:val="multilevel"/>
    <w:tmpl w:val="9CBA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B6047"/>
    <w:rsid w:val="00196A9D"/>
    <w:rsid w:val="006B6047"/>
    <w:rsid w:val="00941C4D"/>
    <w:rsid w:val="009C3CC2"/>
    <w:rsid w:val="00C1099A"/>
    <w:rsid w:val="00CD0236"/>
    <w:rsid w:val="00D4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0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B60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mdesocit">
    <w:name w:val="Nom de société"/>
    <w:basedOn w:val="Normal"/>
    <w:rsid w:val="006B6047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after="120" w:line="320" w:lineRule="atLeast"/>
    </w:pPr>
    <w:rPr>
      <w:rFonts w:ascii="Arial Black" w:eastAsia="Times New Roman" w:hAnsi="Arial Black" w:cs="Times New Roman"/>
      <w:noProof/>
      <w:spacing w:val="-15"/>
      <w:position w:val="-2"/>
      <w:sz w:val="32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6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604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96A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pol.cloud.pf/LexpolAfficheTexte.php?texte=104762" TargetMode="External"/><Relationship Id="rId13" Type="http://schemas.openxmlformats.org/officeDocument/2006/relationships/hyperlink" Target="http://lexpol.cloud.pf/LexpolAfficheTexte.php?texte=112246" TargetMode="External"/><Relationship Id="rId18" Type="http://schemas.openxmlformats.org/officeDocument/2006/relationships/hyperlink" Target="mailto:https://www.service-public.pf/chsp/permis-de-construire/" TargetMode="External"/><Relationship Id="rId26" Type="http://schemas.openxmlformats.org/officeDocument/2006/relationships/hyperlink" Target="mailto:https://www.service-public.pf/chsp/ha/temperatures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https://www.service-public.pf/chsp/ha/locaux/vestiaires/" TargetMode="External"/><Relationship Id="rId7" Type="http://schemas.openxmlformats.org/officeDocument/2006/relationships/hyperlink" Target="http://lexpol.cloud.pf/LexpolAfficheTexte.php?texte=266228" TargetMode="External"/><Relationship Id="rId12" Type="http://schemas.openxmlformats.org/officeDocument/2006/relationships/hyperlink" Target="http://lexpol.cloud.pf/LexpolAfficheTexte.php?texte=104833" TargetMode="External"/><Relationship Id="rId17" Type="http://schemas.openxmlformats.org/officeDocument/2006/relationships/hyperlink" Target="mailto:https://www.service-public.pf/chsp/autorisation/" TargetMode="External"/><Relationship Id="rId25" Type="http://schemas.openxmlformats.org/officeDocument/2006/relationships/hyperlink" Target="mailto:https://www.service-public.pf/chsp/tracabilite/" TargetMode="External"/><Relationship Id="rId2" Type="http://schemas.openxmlformats.org/officeDocument/2006/relationships/styles" Target="styles.xml"/><Relationship Id="rId16" Type="http://schemas.openxmlformats.org/officeDocument/2006/relationships/hyperlink" Target="mailto:https://www.service-public.pf/chsp/declaration/" TargetMode="External"/><Relationship Id="rId20" Type="http://schemas.openxmlformats.org/officeDocument/2006/relationships/hyperlink" Target="mailto:https://www.service-public.pf/chsp/ha/locaux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lexpol.cloud.pf/LexpolAfficheTexte.php?texte=204431" TargetMode="External"/><Relationship Id="rId11" Type="http://schemas.openxmlformats.org/officeDocument/2006/relationships/hyperlink" Target="http://lexpol.cloud.pf/LexpolAfficheTexte.php?texte=271995" TargetMode="External"/><Relationship Id="rId24" Type="http://schemas.openxmlformats.org/officeDocument/2006/relationships/hyperlink" Target="mailto:https://www.service-public.pf/chsp/ha/regles/personnel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lexpol.cloud.pf/LexpolAfficheTexte.php?texte=212351" TargetMode="External"/><Relationship Id="rId23" Type="http://schemas.openxmlformats.org/officeDocument/2006/relationships/hyperlink" Target="mailto:https://www.service-public.pf/chsp/ha/regles/" TargetMode="External"/><Relationship Id="rId28" Type="http://schemas.openxmlformats.org/officeDocument/2006/relationships/hyperlink" Target="mailto:https://www.service-public.pf/chsp/local-a-dechets/" TargetMode="External"/><Relationship Id="rId10" Type="http://schemas.openxmlformats.org/officeDocument/2006/relationships/hyperlink" Target="http://lexpol.cloud.pf/LexpolAfficheTexte.php?texte=253635" TargetMode="External"/><Relationship Id="rId19" Type="http://schemas.openxmlformats.org/officeDocument/2006/relationships/hyperlink" Target="mailto:https://www.service-public.pf/chsp/financement-dun-proj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xpol.cloud.pf/LexpolAfficheTexte.php?texte=104780&amp;idr=435&amp;np=1" TargetMode="External"/><Relationship Id="rId14" Type="http://schemas.openxmlformats.org/officeDocument/2006/relationships/hyperlink" Target="http://lexpol.cloud.pf/LexpolAfficheTexte.php?texte=184845" TargetMode="External"/><Relationship Id="rId22" Type="http://schemas.openxmlformats.org/officeDocument/2006/relationships/hyperlink" Target="mailto:https://www.service-public.pf/chsp/ha/locaux/sanitaires/" TargetMode="External"/><Relationship Id="rId27" Type="http://schemas.openxmlformats.org/officeDocument/2006/relationships/hyperlink" Target="mailto:https://www.service-public.pf/chsp/ha/regles/gestion-des-dechets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1318</Words>
  <Characters>7253</Characters>
  <Application>Microsoft Office Word</Application>
  <DocSecurity>0</DocSecurity>
  <Lines>60</Lines>
  <Paragraphs>17</Paragraphs>
  <ScaleCrop>false</ScaleCrop>
  <Company>Service de l'Informatique de la Polynésie Française</Company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opinguet</dc:creator>
  <cp:lastModifiedBy>opinguet</cp:lastModifiedBy>
  <cp:revision>3</cp:revision>
  <dcterms:created xsi:type="dcterms:W3CDTF">2020-11-05T19:58:00Z</dcterms:created>
  <dcterms:modified xsi:type="dcterms:W3CDTF">2020-11-05T19:58:00Z</dcterms:modified>
</cp:coreProperties>
</file>