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309B309C" w:rsidR="00A1646C" w:rsidRPr="00564DDD" w:rsidRDefault="007011E7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Il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="00501E1F"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BA68FE9" w14:textId="2F07E4D0" w:rsidR="00501E1F" w:rsidRPr="00231F7E" w:rsidRDefault="00D901E5" w:rsidP="00C80BF9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7C33A0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0F12C0" w14:textId="00D8EEA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C93936">
              <w:rPr>
                <w:b w:val="0"/>
                <w:lang w:eastAsia="zh-CN"/>
              </w:rPr>
              <w:t>e</w:t>
            </w:r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14:paraId="0EFE720F" w14:textId="77777777" w:rsidR="00FA6236" w:rsidRPr="00FA6236" w:rsidRDefault="00FA6236" w:rsidP="00FA6236">
            <w:pPr>
              <w:rPr>
                <w:sz w:val="6"/>
                <w:lang w:eastAsia="zh-CN"/>
              </w:rPr>
            </w:pPr>
          </w:p>
          <w:p w14:paraId="39BF7CDF" w14:textId="77777777" w:rsidR="007B1002" w:rsidRPr="007B1002" w:rsidRDefault="007B1002" w:rsidP="007B1002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7B1002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14:paraId="02265CC5" w14:textId="77777777" w:rsidR="007B1002" w:rsidRPr="007B1002" w:rsidRDefault="007B1002" w:rsidP="007B1002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7B1002">
              <w:rPr>
                <w:b w:val="0"/>
                <w:lang w:eastAsia="zh-CN"/>
              </w:rPr>
              <w:t>« ILHA DO MEL » : abandonné dans la baie de Phaëton, Taravao, Tahiti ;</w:t>
            </w:r>
          </w:p>
          <w:p w14:paraId="14C1984F" w14:textId="77777777" w:rsidR="007B1002" w:rsidRPr="007B1002" w:rsidRDefault="007B1002" w:rsidP="007B1002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7B1002">
              <w:rPr>
                <w:b w:val="0"/>
                <w:lang w:eastAsia="zh-CN"/>
              </w:rPr>
              <w:t>NOM INCONNU : abandonné dans la baie de Phaëton, Taravao, Tahiti ;</w:t>
            </w:r>
          </w:p>
          <w:p w14:paraId="61FCBEA7" w14:textId="77777777" w:rsidR="007B1002" w:rsidRPr="007B1002" w:rsidRDefault="007B1002" w:rsidP="007B1002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7B1002">
              <w:rPr>
                <w:b w:val="0"/>
                <w:lang w:eastAsia="zh-CN"/>
              </w:rPr>
              <w:t xml:space="preserve">« TAUHANI » : qui a coulé dans le lagon de Bora Bora, îles sous-le-vent ; </w:t>
            </w:r>
          </w:p>
          <w:p w14:paraId="382B071A" w14:textId="77777777" w:rsidR="007B1002" w:rsidRPr="007B1002" w:rsidRDefault="007B1002" w:rsidP="007B1002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7B1002">
              <w:rPr>
                <w:b w:val="0"/>
                <w:lang w:eastAsia="zh-CN"/>
              </w:rPr>
              <w:t>NOM INCONNU : abandonné dans le lagon de Punaauia, Tahiti.</w:t>
            </w:r>
          </w:p>
          <w:p w14:paraId="53DAF485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5A8F4D3" w14:textId="7F434232" w:rsidR="00B26BF4" w:rsidRP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 xml:space="preserve">Les opérations consistent à procéder pour chaque navire à la dépollution des parties du navire pouvant comporter des hydrocarbures (carburant, huiles), des liquides polluants, et autres déchets à l’intérieur ou extérieur du navire, </w:t>
            </w:r>
            <w:r w:rsidR="000B487B" w:rsidRPr="000B487B">
              <w:rPr>
                <w:b w:val="0"/>
                <w:lang w:eastAsia="zh-CN"/>
              </w:rPr>
              <w:t>à retirer et démanteler</w:t>
            </w:r>
            <w:r w:rsidRPr="00B26BF4">
              <w:rPr>
                <w:b w:val="0"/>
                <w:lang w:eastAsia="zh-CN"/>
              </w:rPr>
              <w:t xml:space="preserve"> le navire en utilisant la méthode la moins abrasive possible pour le milieu naturel et évacuer les déchets générés.</w:t>
            </w:r>
          </w:p>
          <w:p w14:paraId="6DC53BCF" w14:textId="2379D24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14:paraId="59CE2616" w14:textId="3F5FC7D1" w:rsidR="003E3003" w:rsidRPr="00ED6252" w:rsidRDefault="003E3003" w:rsidP="003E300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b/>
                <w:sz w:val="24"/>
                <w:szCs w:val="20"/>
                <w:lang w:eastAsia="zh-CN"/>
              </w:rPr>
            </w:pPr>
            <w:r w:rsidRPr="00A976D0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 xml:space="preserve">Lot n° </w:t>
            </w:r>
            <w:r w:rsidR="00256A3C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>4</w:t>
            </w:r>
            <w:r w:rsidRPr="00A976D0">
              <w:rPr>
                <w:rFonts w:eastAsia="Times New Roman" w:cs="Times New Roman"/>
                <w:b/>
                <w:sz w:val="28"/>
                <w:szCs w:val="20"/>
                <w:lang w:eastAsia="zh-CN"/>
              </w:rPr>
              <w:t> </w:t>
            </w:r>
            <w:r w:rsidRPr="00A976D0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 xml:space="preserve">: </w:t>
            </w:r>
            <w:r w:rsidR="007B1002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</w:t>
            </w:r>
            <w:r w:rsidR="007B1002" w:rsidRPr="007B1002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restations de dépollution et de retrait du navire « TAUHANI », qui a coulé dans le lagon de Bora Bora, îles sous-le-vent</w:t>
            </w:r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 </w:t>
            </w:r>
          </w:p>
          <w:p w14:paraId="5FF7C6D4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C9B5698" w14:textId="08178072" w:rsidR="00DC7473" w:rsidRDefault="00DC7473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DC747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14:paraId="08A7460C" w14:textId="77777777" w:rsidR="006828FF" w:rsidRDefault="006828FF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</w:p>
          <w:p w14:paraId="2FDE806B" w14:textId="6E55F90E" w:rsidR="00375191" w:rsidRPr="00D11170" w:rsidRDefault="00711ADD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683D3C0E" w14:textId="691E22CC" w:rsidR="00B72078" w:rsidRDefault="00A736B4" w:rsidP="00DC7473">
            <w:pPr>
              <w:tabs>
                <w:tab w:val="left" w:pos="1134"/>
                <w:tab w:val="left" w:pos="7140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au </w:t>
            </w:r>
            <w:r w:rsidR="00DC7473" w:rsidRPr="00DC7473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 xml:space="preserve">lot n° </w:t>
            </w:r>
            <w:r w:rsidR="007F68BA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>4</w:t>
            </w:r>
            <w:r w:rsidR="00DC7473" w:rsidRPr="00DC7473">
              <w:rPr>
                <w:rFonts w:asciiTheme="minorHAnsi" w:eastAsia="Times New Roman" w:hAnsiTheme="minorHAnsi" w:cstheme="minorHAnsi"/>
                <w:sz w:val="24"/>
                <w:szCs w:val="20"/>
                <w:lang w:eastAsia="zh-CN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du </w:t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marché public         </w:t>
            </w:r>
            <w:r w:rsidR="00EB0899"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</w:t>
            </w:r>
            <w:r w:rsidR="00EB089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</w:p>
          <w:p w14:paraId="1035D0D6" w14:textId="3D1C6215" w:rsidR="00E654CD" w:rsidRPr="00D11170" w:rsidRDefault="00DC7473" w:rsidP="00A976D0">
            <w:pPr>
              <w:pStyle w:val="TM3"/>
              <w:spacing w:before="120"/>
            </w:pPr>
            <w:r w:rsidRPr="00A976D0">
              <w:rPr>
                <w:rFonts w:eastAsia="Times New Roman" w:cs="Times New Roman"/>
                <w:sz w:val="24"/>
                <w:u w:val="single"/>
                <w:lang w:eastAsia="zh-CN"/>
              </w:rPr>
              <w:t xml:space="preserve">Lot n° </w:t>
            </w:r>
            <w:r w:rsidR="007F68BA">
              <w:rPr>
                <w:rFonts w:eastAsia="Times New Roman" w:cs="Times New Roman"/>
                <w:sz w:val="24"/>
                <w:u w:val="single"/>
                <w:lang w:eastAsia="zh-CN"/>
              </w:rPr>
              <w:t>4</w:t>
            </w:r>
            <w:r>
              <w:rPr>
                <w:rFonts w:eastAsia="Times New Roman" w:cs="Times New Roman"/>
                <w:sz w:val="24"/>
                <w:lang w:eastAsia="zh-CN"/>
              </w:rPr>
              <w:t xml:space="preserve"> : </w:t>
            </w:r>
            <w:r w:rsidR="004C7F2B" w:rsidRPr="004C7F2B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Prestations de dépollution et de retrait du navire « TAUHANI », qui a coulé dans le lagon de Bora Bora, îles sous-le-vent</w:t>
            </w: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6"/>
        <w:gridCol w:w="58"/>
      </w:tblGrid>
      <w:tr w:rsidR="00134E28" w:rsidRPr="00D11170" w14:paraId="61B3A24E" w14:textId="77777777" w:rsidTr="00D37AC6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D37AC6">
        <w:tc>
          <w:tcPr>
            <w:tcW w:w="10344" w:type="dxa"/>
            <w:gridSpan w:val="2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737B0EF9" w14:textId="44BEDDC2" w:rsid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-VP-DPAM)</w:t>
            </w:r>
          </w:p>
          <w:p w14:paraId="5A669273" w14:textId="686068E2" w:rsidR="00325838" w:rsidRPr="00325838" w:rsidRDefault="00325838" w:rsidP="0032583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 </w:t>
            </w:r>
            <w:r w:rsidR="009B4F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–MAPA n° 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623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n°</w:t>
            </w:r>
            <w:r w:rsidR="009B4F9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6DC2C06" w14:textId="3A79EE5C" w:rsidR="0094257F" w:rsidRPr="00325838" w:rsidRDefault="00A736B4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</w:t>
            </w:r>
            <w:r w:rsidR="00325838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CCAP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–MAPA n° 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6791A982" w14:textId="25A01930" w:rsidR="0094257F" w:rsidRP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25838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9B4F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736B4" w:rsidRPr="00325838">
              <w:t xml:space="preserve"> 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Fichier « CCTP–MAPA n° 2023-0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-VP-DPAM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9B4F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9DBB2CE" w14:textId="502AD023" w:rsidR="0094257F" w:rsidRPr="00325838" w:rsidRDefault="00325838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25A46FF" w14:textId="77777777" w:rsidR="00671CFC" w:rsidRDefault="00671CFC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7B1623BD" w14:textId="36854950" w:rsidR="0094257F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1A3C22FC" w14:textId="1016D4FF" w:rsidR="00FA6236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38AA9B77" w14:textId="77777777" w:rsidR="00FA6236" w:rsidRPr="002F07C4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lastRenderedPageBreak/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3CF49" w14:textId="11EDE511" w:rsidR="00347C5D" w:rsidRPr="00347C5D" w:rsidRDefault="00003D30" w:rsidP="00347C5D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26491" w14:textId="77777777" w:rsidR="00126EB3" w:rsidRPr="00126EB3" w:rsidRDefault="00126EB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 prix indiqué ci-dessous :</w:t>
            </w:r>
          </w:p>
          <w:p w14:paraId="54F8E4EB" w14:textId="77777777" w:rsidR="00126EB3" w:rsidRPr="00126EB3" w:rsidRDefault="00126EB3" w:rsidP="00126EB3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6B72E7D5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3234B5C4" w14:textId="0B647958" w:rsidR="00126EB3" w:rsidRDefault="00126EB3" w:rsidP="00126EB3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88FE51C" w14:textId="15E05137" w:rsidR="00126EB3" w:rsidRPr="00126EB3" w:rsidRDefault="00126EB3" w:rsidP="00126EB3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2B2DDC86" w14:textId="58690F23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65363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65068A6E" w14:textId="4E6CB163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Taux de la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CPS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1%</w:t>
            </w:r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</w:t>
            </w:r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65363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1971BCA0" w14:textId="77777777" w:rsidR="00126EB3" w:rsidRPr="00126EB3" w:rsidRDefault="00126EB3" w:rsidP="00126EB3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3B5E0597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7AAE57CA" w14:textId="77777777" w:rsidR="007D5ECD" w:rsidRDefault="00126EB3" w:rsidP="00880A10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7ED82CF" w14:textId="1650D3AE" w:rsidR="00AF487B" w:rsidRPr="00AF487B" w:rsidRDefault="00AF487B" w:rsidP="00AF487B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29771562" w14:textId="70DC40A5" w:rsidR="00AF487B" w:rsidRPr="00AF487B" w:rsidRDefault="00AF487B" w:rsidP="00AF487B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 w:rsidR="00D126D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D126DD" w:rsidRPr="00D126D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Lot n° </w:t>
            </w:r>
            <w:r w:rsidR="00653630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4</w:t>
            </w:r>
          </w:p>
          <w:p w14:paraId="5ABDDD9C" w14:textId="35D570FC" w:rsidR="00880A10" w:rsidRPr="00880A10" w:rsidRDefault="00880A10" w:rsidP="00AF487B">
            <w:p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2D3CA5" w:rsidRPr="00D11170" w14:paraId="227FFD03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01F80261" w14:textId="791A583F" w:rsidR="002D3CA5" w:rsidRPr="00D11170" w:rsidRDefault="002D3CA5" w:rsidP="00200BC5">
            <w:pPr>
              <w:pStyle w:val="TM3"/>
            </w:pPr>
            <w:r w:rsidRPr="0078045E">
              <w:rPr>
                <w:rFonts w:eastAsia="Times New Roman"/>
                <w:lang w:eastAsia="zh-CN"/>
              </w:rPr>
              <w:lastRenderedPageBreak/>
              <w:br w:type="page"/>
            </w: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45CB1DC8" w:rsidR="0032726C" w:rsidRDefault="0032726C" w:rsidP="00D37AC6">
            <w:pPr>
              <w:suppressAutoHyphens/>
              <w:spacing w:after="12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</w:t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880A10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415C08D2" w:rsidR="00DB1192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2CB357D" w14:textId="2A07C727" w:rsidR="0017794E" w:rsidRDefault="0017794E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76FEA47" w14:textId="6B7B67BA" w:rsidR="00341A39" w:rsidRDefault="00341A39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84744C6" w14:textId="77777777" w:rsidR="00341A39" w:rsidRPr="0017794E" w:rsidRDefault="00341A39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CCC516F" w14:textId="25A4E117" w:rsidR="001E6549" w:rsidRPr="0017794E" w:rsidRDefault="00CB752E" w:rsidP="0017794E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lastRenderedPageBreak/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</w:t>
            </w:r>
            <w:r w:rsidRPr="0017794E"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32EB9F7E" w14:textId="42043204" w:rsidR="00AF487B" w:rsidRPr="00AF487B" w:rsidRDefault="00AF487B" w:rsidP="00AF487B">
            <w:pPr>
              <w:numPr>
                <w:ilvl w:val="0"/>
                <w:numId w:val="33"/>
              </w:numPr>
              <w:spacing w:before="240"/>
              <w:ind w:left="284" w:hanging="240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 xml:space="preserve">En cas de groupement </w:t>
            </w:r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conjoint 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> :</w:t>
            </w:r>
          </w:p>
          <w:p w14:paraId="35FF96B3" w14:textId="77777777" w:rsidR="00AF487B" w:rsidRPr="00AF487B" w:rsidRDefault="00AF487B" w:rsidP="00AF487B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9159E22" w14:textId="4AD3FFAB" w:rsidR="00AF487B" w:rsidRPr="00AF487B" w:rsidRDefault="00AF487B" w:rsidP="00AF487B">
            <w:pPr>
              <w:numPr>
                <w:ilvl w:val="0"/>
                <w:numId w:val="34"/>
              </w:numPr>
              <w:spacing w:before="240"/>
              <w:ind w:left="567" w:hanging="142"/>
              <w:contextualSpacing/>
              <w:jc w:val="left"/>
              <w:rPr>
                <w:rFonts w:ascii="Calibri" w:eastAsia="Times New Roman" w:hAnsi="Calibri" w:cs="Calibri"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mandataire est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solidaire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: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0D605BB7" w14:textId="77777777" w:rsidR="00AF487B" w:rsidRPr="00AF487B" w:rsidRDefault="00AF487B" w:rsidP="00AF487B">
            <w:pPr>
              <w:spacing w:before="240"/>
              <w:ind w:left="567" w:hanging="142"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ab/>
              <w:t xml:space="preserve"> Répartition </w:t>
            </w:r>
            <w:r w:rsidRPr="00AF487B">
              <w:rPr>
                <w:rFonts w:ascii="Calibri" w:eastAsia="Wingdings" w:hAnsi="Calibri" w:cs="Calibri"/>
                <w:sz w:val="20"/>
                <w:szCs w:val="20"/>
                <w:lang w:eastAsia="zh-CN"/>
              </w:rPr>
              <w:t>des prestations</w:t>
            </w:r>
            <w:r w:rsidRPr="00AF487B">
              <w:rPr>
                <w:rFonts w:ascii="Calibri" w:eastAsia="Wingdings" w:hAnsi="Calibri" w:cs="Calibri"/>
                <w:iCs/>
                <w:sz w:val="20"/>
                <w:szCs w:val="20"/>
                <w:lang w:eastAsia="zh-CN"/>
              </w:rPr>
              <w:t> :</w:t>
            </w:r>
          </w:p>
          <w:p w14:paraId="44AB3B65" w14:textId="77777777" w:rsidR="00AF487B" w:rsidRPr="00AF487B" w:rsidRDefault="00AF487B" w:rsidP="00AF487B">
            <w:pPr>
              <w:spacing w:before="0" w:after="120"/>
              <w:ind w:left="567"/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</w:pP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AF487B">
              <w:rPr>
                <w:rFonts w:ascii="Arial Narrow" w:eastAsia="Times New Roman" w:hAnsi="Arial Narrow" w:cs="Calibr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828"/>
              <w:gridCol w:w="2268"/>
            </w:tblGrid>
            <w:tr w:rsidR="00AF487B" w:rsidRPr="00AF487B" w14:paraId="2D68BEEB" w14:textId="77777777" w:rsidTr="00AF487B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6934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755AF616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901F" w14:textId="77777777" w:rsidR="00AF487B" w:rsidRPr="00AF487B" w:rsidRDefault="00AF487B" w:rsidP="00AF487B">
                  <w:pPr>
                    <w:keepNext/>
                    <w:spacing w:before="0" w:line="276" w:lineRule="auto"/>
                    <w:outlineLvl w:val="4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AF487B" w:rsidRPr="00AF487B" w14:paraId="26DE5449" w14:textId="77777777" w:rsidTr="00AF487B">
              <w:trPr>
                <w:cantSplit/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060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590201E7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3D0FEB50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26C32139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AF487B" w:rsidRPr="00AF487B" w14:paraId="576C5DAE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3A54406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D384926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035B0F73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07A55B42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2D12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F739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71D27F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1C3005C9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DAAB609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91666EA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7B76EB5B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647506E3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5AB01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1FB15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AA2C5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2F5D1E45" w:rsidR="002D3CA5" w:rsidRPr="002D3CA5" w:rsidRDefault="00AF487B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3F558AF" w14:textId="77777777" w:rsidR="00CA1A21" w:rsidRPr="001B2E9E" w:rsidRDefault="00CA1A21" w:rsidP="00F3501F">
            <w:pPr>
              <w:suppressAutoHyphens/>
              <w:spacing w:before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5F4C6A4A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8C026A8" w14:textId="7561736E" w:rsidR="00F3501F" w:rsidRPr="00ED5638" w:rsidRDefault="00F3501F" w:rsidP="00ED563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Le délai de réalisation de la prestation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 : ………………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.……………………………………………………………………………………</w:t>
            </w:r>
          </w:p>
          <w:p w14:paraId="7D4FD56E" w14:textId="7D823F37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durée du marché public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de </w:t>
            </w:r>
            <w:r w:rsidR="00F3501F"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 mois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14:paraId="7ABBE7F3" w14:textId="77777777" w:rsidR="00A500FE" w:rsidRPr="00DF22C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547356E8" w:rsidR="00A500FE" w:rsidRPr="00F70D99" w:rsidRDefault="00F70D99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F70D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public </w:t>
            </w:r>
          </w:p>
          <w:p w14:paraId="3FFBA337" w14:textId="2AEBBBD1" w:rsidR="00A500FE" w:rsidRPr="000F7554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0F755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683F3B" w:rsidRPr="000F755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683F3B" w:rsidRPr="000F755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683F3B" w:rsidRPr="000F755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0F755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0F755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0F755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0F7554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0F755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0F7554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0F755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0F7554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0F7554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0F755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0F7554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0F7554">
              <w:rPr>
                <w:rFonts w:asciiTheme="minorHAnsi" w:hAnsiTheme="minorHAnsi" w:cstheme="minorHAnsi"/>
                <w:i/>
              </w:rPr>
              <w:t xml:space="preserve">Si </w:t>
            </w:r>
            <w:r w:rsidRPr="000F7554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0F7554">
              <w:rPr>
                <w:rFonts w:asciiTheme="minorHAnsi" w:hAnsiTheme="minorHAnsi" w:cstheme="minorHAnsi"/>
              </w:rPr>
              <w:t>, préciser :</w:t>
            </w:r>
          </w:p>
          <w:p w14:paraId="2FE58FD7" w14:textId="582F019A" w:rsidR="00A500FE" w:rsidRPr="000F7554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683F3B"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</w:t>
            </w:r>
          </w:p>
          <w:p w14:paraId="14CBFBCE" w14:textId="6C4BCC88" w:rsidR="00A500FE" w:rsidRPr="000F7554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D5638" w:rsidRPr="000F755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 mois</w:t>
            </w:r>
          </w:p>
          <w:p w14:paraId="7087D95C" w14:textId="5722EDB1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0F755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0F755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0F755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0F755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1BF706D4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</w:t>
            </w:r>
            <w:r w:rsidR="00073EF1"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</w:tr>
    </w:tbl>
    <w:p w14:paraId="4F7DF31F" w14:textId="5F7FA9B8" w:rsidR="00390140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F9ECED6" w14:textId="4A71BD29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872AA6F" w14:textId="32012450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0DAEF8B" w14:textId="1A24A993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B8A2C78" w14:textId="77777777" w:rsidR="00E607B8" w:rsidRPr="00CC64F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lastRenderedPageBreak/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194"/>
        <w:gridCol w:w="112"/>
        <w:gridCol w:w="9"/>
        <w:gridCol w:w="141"/>
      </w:tblGrid>
      <w:tr w:rsidR="009E6DDE" w:rsidRPr="008412F3" w14:paraId="241AB19C" w14:textId="77777777" w:rsidTr="00C26D47">
        <w:trPr>
          <w:trHeight w:val="340"/>
        </w:trPr>
        <w:tc>
          <w:tcPr>
            <w:tcW w:w="10456" w:type="dxa"/>
            <w:gridSpan w:val="4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C26D47">
        <w:tc>
          <w:tcPr>
            <w:tcW w:w="10456" w:type="dxa"/>
            <w:gridSpan w:val="4"/>
          </w:tcPr>
          <w:p w14:paraId="2F1C7B4D" w14:textId="77777777" w:rsidR="009E6DDE" w:rsidRPr="00FD1069" w:rsidRDefault="009E6DDE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09366BE" w14:textId="77777777" w:rsidR="00FD1069" w:rsidRPr="003E55FC" w:rsidRDefault="00FD1069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Le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Vice-Président,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du logement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l’aménagement, en charge des transports interinsulaires</w:t>
            </w:r>
          </w:p>
          <w:p w14:paraId="52A1443E" w14:textId="77777777" w:rsidR="009E6DDE" w:rsidRDefault="00E45FC4" w:rsidP="00A52246">
            <w:pPr>
              <w:pStyle w:val="Paragraphedeliste"/>
              <w:numPr>
                <w:ilvl w:val="0"/>
                <w:numId w:val="10"/>
              </w:numPr>
              <w:spacing w:after="60"/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66740007" w14:textId="77777777" w:rsidR="00AE1300" w:rsidRPr="00AE1300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Bâtiment administratif A 2 – 4ème étage.</w:t>
                  </w:r>
                </w:p>
                <w:p w14:paraId="03DF4C6E" w14:textId="0B3206FB" w:rsidR="00F71F17" w:rsidRPr="00AF7865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 - TAHITI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313A04E" w:rsidR="00F71F17" w:rsidRPr="00AF7865" w:rsidRDefault="00AE1300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B.P. 2551  -  98713 PAPEETE  - TAHITI  - Polynésie française</w:t>
                  </w:r>
                </w:p>
              </w:tc>
            </w:tr>
            <w:tr w:rsidR="00C918E3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00F8A7F7" w:rsidR="00C918E3" w:rsidRPr="00AF7865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46 82 50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662F355C" w:rsidR="00C918E3" w:rsidRPr="00AE1300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46 82 51</w:t>
                  </w:r>
                </w:p>
              </w:tc>
            </w:tr>
            <w:tr w:rsidR="00206E25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32597933" w:rsidR="00206E25" w:rsidRPr="00AF7865" w:rsidRDefault="00AE1300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secretariat@vp.gov.pf</w:t>
                  </w:r>
                </w:p>
              </w:tc>
            </w:tr>
          </w:tbl>
          <w:p w14:paraId="7DE40F3D" w14:textId="75816A92" w:rsidR="00E96DCF" w:rsidRPr="00AE1300" w:rsidRDefault="00E96DCF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AE1300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signataire doit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00E2499F" w14:textId="77777777" w:rsidR="00AE1300" w:rsidRPr="00C35AF3" w:rsidRDefault="00AE1300" w:rsidP="00AE1300">
            <w:pPr>
              <w:pStyle w:val="Paragraphedeliste"/>
              <w:ind w:left="284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</w:p>
          <w:p w14:paraId="3129A500" w14:textId="75492758" w:rsidR="00DE36D3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Monsieur Jean-Christophe BOUISSOU, Vice-Président de la Polynésie française, ministre du logement, de l’aménagement, en charge des transports interinsulaires</w:t>
            </w:r>
          </w:p>
          <w:p w14:paraId="12774EF6" w14:textId="061CEDBD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ED9323F" w14:textId="77777777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AE1300" w:rsidRDefault="00655B7D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39DAE24A" w14:textId="77777777" w:rsidR="00AE1300" w:rsidRPr="00AE1300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1D27FB10" w14:textId="77777777" w:rsidR="00AE1300" w:rsidRPr="00AE1300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21D767E9" w14:textId="77777777" w:rsidR="00AE1300" w:rsidRPr="00AE1300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B.P. </w:t>
            </w:r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4497  -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 98713  PAPEETE</w:t>
            </w:r>
          </w:p>
          <w:p w14:paraId="0AF4B9FD" w14:textId="5FBA19FA" w:rsidR="00655B7D" w:rsidRPr="00AE1300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Tél</w:t>
            </w:r>
            <w:proofErr w:type="spell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: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(689) 40 46 70 00   -   Fax : (689) 40 46 70 71</w:t>
            </w:r>
          </w:p>
          <w:p w14:paraId="70597A0A" w14:textId="77777777" w:rsidR="009E6DDE" w:rsidRPr="00981245" w:rsidRDefault="009E6DDE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8124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607D7745" w14:textId="77777777" w:rsidR="00A52246" w:rsidRPr="00105F8D" w:rsidRDefault="00A52246" w:rsidP="00A52246">
            <w:pPr>
              <w:ind w:left="4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48557E90" w14:textId="77777777" w:rsidR="00A52246" w:rsidRPr="00105F8D" w:rsidRDefault="00A52246" w:rsidP="00A52246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2023</w:t>
            </w:r>
          </w:p>
          <w:p w14:paraId="12E534C1" w14:textId="77777777" w:rsidR="00A52246" w:rsidRPr="00105F8D" w:rsidRDefault="00A52246" w:rsidP="00A52246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7E258CCD" w14:textId="77777777" w:rsidR="00A52246" w:rsidRPr="00105F8D" w:rsidRDefault="00A52246" w:rsidP="00A52246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019799A0" w14:textId="77777777" w:rsidR="00A52246" w:rsidRPr="00105F8D" w:rsidRDefault="00A52246" w:rsidP="00A52246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Centre de travail</w:t>
            </w: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732-F</w:t>
            </w:r>
          </w:p>
          <w:p w14:paraId="2FED3A0F" w14:textId="77777777" w:rsidR="00A52246" w:rsidRPr="00105F8D" w:rsidRDefault="00A52246" w:rsidP="00A52246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105F8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628</w:t>
            </w:r>
          </w:p>
          <w:p w14:paraId="10A9536A" w14:textId="61038E78" w:rsidR="00E96DCF" w:rsidRPr="004E7D18" w:rsidRDefault="00E96DCF" w:rsidP="00A52246">
            <w:pPr>
              <w:numPr>
                <w:ilvl w:val="0"/>
                <w:numId w:val="10"/>
              </w:num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fr-FR"/>
              </w:rPr>
            </w:pPr>
            <w:bookmarkStart w:id="0" w:name="_GoBack"/>
            <w:bookmarkEnd w:id="0"/>
          </w:p>
          <w:p w14:paraId="3941C652" w14:textId="0B082C8E" w:rsidR="006B4F8F" w:rsidRPr="004B358A" w:rsidRDefault="00655B7D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 des autorités habilitées à prendre, par délégation de l'autorité compétente, les actes d'exécution du marché</w:t>
            </w: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0981CD93" w14:textId="2B7497F0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4B358A"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3B83620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14:paraId="5D014C87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15E1CE42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12B26D15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20F6D75" w:rsidR="00CD6C33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32E7F92F" w14:textId="77777777" w:rsidR="00865989" w:rsidRPr="004B358A" w:rsidRDefault="00865989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6FD2F215" w14:textId="432DEA0D" w:rsidR="00655B7D" w:rsidRPr="003038E6" w:rsidRDefault="004B358A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</w:tc>
      </w:tr>
      <w:tr w:rsidR="00A13106" w:rsidRPr="008412F3" w14:paraId="5B2693A7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3883358" w14:textId="09F2C51E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68131D73" w14:textId="63DB772A" w:rsidR="006703C5" w:rsidRPr="006703C5" w:rsidRDefault="006703C5" w:rsidP="006703C5">
            <w:pPr>
              <w:suppressAutoHyphens/>
              <w:ind w:left="851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à la 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rubrique B1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05DBE89" w14:textId="3AC76D40" w:rsidR="006703C5" w:rsidRPr="006703C5" w:rsidRDefault="006703C5" w:rsidP="006703C5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06441537" w:rsidR="006703C5" w:rsidRPr="006703C5" w:rsidRDefault="006703C5" w:rsidP="006703C5">
            <w:pPr>
              <w:ind w:left="1985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  <w:r w:rsidR="00F5053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F50535" w:rsidRPr="00F50535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Lot n° </w:t>
            </w:r>
            <w:r w:rsidR="00653630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4</w:t>
            </w:r>
          </w:p>
        </w:tc>
      </w:tr>
      <w:tr w:rsidR="004E5405" w14:paraId="62168178" w14:textId="77777777" w:rsidTr="00C26D47">
        <w:trPr>
          <w:gridAfter w:val="2"/>
          <w:wAfter w:w="150" w:type="dxa"/>
          <w:trHeight w:val="80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1EC8ED0C" w14:textId="3C00EC65" w:rsidR="00386042" w:rsidRPr="006703C5" w:rsidRDefault="00A13106" w:rsidP="006703C5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proofErr w:type="spellStart"/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proofErr w:type="spellEnd"/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0651ED4" w14:textId="294E603F" w:rsidR="00AF7944" w:rsidRPr="00AF7944" w:rsidRDefault="003038E6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n</w:t>
            </w:r>
            <w:proofErr w:type="gramStart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l’acceptation du sous-traitant déclaré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;</w:t>
            </w:r>
          </w:p>
          <w:p w14:paraId="425C4BE9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relative à l’agrément des conditions de paiement du sous-traitant déclaré 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;</w:t>
            </w:r>
          </w:p>
          <w:p w14:paraId="69D8F984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aux demandes de précisions ou de compléments sur la teneur des offres ;</w:t>
            </w:r>
          </w:p>
          <w:p w14:paraId="43E93D4E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la mise au point du marché ;</w:t>
            </w:r>
          </w:p>
          <w:p w14:paraId="2A59ADC1" w14:textId="77777777" w:rsid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Autres annexes </w:t>
            </w:r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>préciser)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:…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14:paraId="4FE77407" w14:textId="77777777" w:rsidR="003038E6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</w:pPr>
          </w:p>
          <w:p w14:paraId="0C336D7D" w14:textId="4B712D66" w:rsidR="003038E6" w:rsidRPr="004E5405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administratif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14:paraId="2BFC15AD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délégataire.]</w:t>
            </w:r>
          </w:p>
          <w:p w14:paraId="00D84958" w14:textId="77777777" w:rsidR="003038E6" w:rsidRPr="00BF54D0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4"/>
                <w:szCs w:val="20"/>
                <w:lang w:eastAsia="zh-CN"/>
              </w:rPr>
            </w:pPr>
          </w:p>
          <w:p w14:paraId="048270FE" w14:textId="77777777" w:rsidR="003038E6" w:rsidRPr="0089254A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zh-CN"/>
              </w:rPr>
            </w:pPr>
          </w:p>
          <w:p w14:paraId="1B356059" w14:textId="77777777" w:rsidR="003038E6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BDEB69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5FD1B1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A04E76B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92ED833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5528FEAF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20BF5778" w14:textId="7800A1A8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B46B1E0" w14:textId="77777777" w:rsidR="0089254A" w:rsidRDefault="0089254A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678B4C8A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C62A56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7F7014A4" w14:textId="77777777" w:rsidR="003038E6" w:rsidRPr="0089254A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fr-FR"/>
              </w:rPr>
            </w:pPr>
          </w:p>
          <w:p w14:paraId="09D4C893" w14:textId="0373E0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4D05C5"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>Jean-Christophe BOUISSOU</w:t>
            </w:r>
          </w:p>
          <w:p w14:paraId="4DCA39C1" w14:textId="19F21AF3" w:rsidR="003038E6" w:rsidRPr="0089254A" w:rsidRDefault="0089254A" w:rsidP="0089254A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4D05C5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lastRenderedPageBreak/>
              <w:t xml:space="preserve">Le 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Vice-Président,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br/>
              <w:t>ministre du logement, de l’aménagement,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br/>
              <w:t>en charge des transports interinsulaire</w:t>
            </w:r>
            <w:r w:rsidRPr="003038E6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s</w:t>
            </w:r>
          </w:p>
        </w:tc>
      </w:tr>
      <w:tr w:rsidR="004E5405" w14:paraId="175E0658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E6" w14:textId="2F6F40EB" w:rsidR="00BF54D0" w:rsidRPr="00324338" w:rsidRDefault="00BF54D0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14:paraId="6E260C50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0758A106" w14:textId="08409A46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70A3EF3D" w14:textId="58B2237F" w:rsidR="003038E6" w:rsidRDefault="003038E6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C26D47">
        <w:trPr>
          <w:gridAfter w:val="2"/>
          <w:wAfter w:w="150" w:type="dxa"/>
          <w:trHeight w:val="6363"/>
        </w:trPr>
        <w:tc>
          <w:tcPr>
            <w:tcW w:w="10306" w:type="dxa"/>
            <w:gridSpan w:val="2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lastRenderedPageBreak/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7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2336B" w:rsidRPr="008412F3" w14:paraId="2F09C3B6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2BEDBF9" w14:textId="316B21A2" w:rsidR="0092336B" w:rsidRPr="00022FDC" w:rsidRDefault="00791862" w:rsidP="00D261C4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92336B"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="0092336B"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C26D47">
        <w:trPr>
          <w:gridAfter w:val="1"/>
          <w:wAfter w:w="141" w:type="dxa"/>
        </w:trPr>
        <w:tc>
          <w:tcPr>
            <w:tcW w:w="10315" w:type="dxa"/>
            <w:gridSpan w:val="3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597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05F8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C26D47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C26D4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lastRenderedPageBreak/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  <w:tr w:rsidR="00AB7DE4" w:rsidRPr="008412F3" w14:paraId="178C0D74" w14:textId="77777777" w:rsidTr="00C26D47">
        <w:trPr>
          <w:gridAfter w:val="3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4D718870" w14:textId="77777777" w:rsidR="00AB7DE4" w:rsidRPr="00022FDC" w:rsidRDefault="00CF6C3F" w:rsidP="006274F2">
            <w:pPr>
              <w:pStyle w:val="TM3"/>
              <w:tabs>
                <w:tab w:val="left" w:pos="7400"/>
              </w:tabs>
              <w:ind w:right="-69"/>
            </w:pPr>
            <w:r>
              <w:rPr>
                <w:lang w:eastAsia="fr-FR"/>
              </w:rPr>
              <w:lastRenderedPageBreak/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C26D47">
        <w:trPr>
          <w:gridAfter w:val="3"/>
          <w:wAfter w:w="262" w:type="dxa"/>
        </w:trPr>
        <w:tc>
          <w:tcPr>
            <w:tcW w:w="101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C26D47">
              <w:trPr>
                <w:trHeight w:val="795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26D47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5ECE" w14:textId="77777777" w:rsidR="0017794E" w:rsidRDefault="0017794E" w:rsidP="002B5FC8">
      <w:pPr>
        <w:spacing w:before="0"/>
      </w:pPr>
      <w:r>
        <w:separator/>
      </w:r>
    </w:p>
  </w:endnote>
  <w:endnote w:type="continuationSeparator" w:id="0">
    <w:p w14:paraId="74A57C6D" w14:textId="77777777" w:rsidR="0017794E" w:rsidRDefault="0017794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17794E" w:rsidRPr="00B636BE" w14:paraId="216D688C" w14:textId="77777777" w:rsidTr="002C5007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17794E" w:rsidRPr="00492A10" w:rsidRDefault="0017794E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668430" w14:textId="77777777" w:rsidR="0017794E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2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-VP-DPAM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–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Dépollution et retrait de navires dans le cadre du projet de résorption des épaves </w:t>
          </w:r>
        </w:p>
        <w:p w14:paraId="6C82AB01" w14:textId="4F7EBEB2" w:rsidR="0017794E" w:rsidRPr="004B539F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navires abandonnés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17794E" w:rsidRPr="00A63288" w:rsidRDefault="0017794E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7794E" w:rsidRPr="00F57C8B" w14:paraId="20178CFA" w14:textId="77777777" w:rsidTr="002C5007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17794E" w:rsidRPr="00645265" w:rsidRDefault="0017794E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17794E" w:rsidRPr="00F57C8B" w:rsidRDefault="0017794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5529" w14:textId="77777777" w:rsidR="0017794E" w:rsidRDefault="0017794E" w:rsidP="002B5FC8">
      <w:pPr>
        <w:spacing w:before="0"/>
      </w:pPr>
      <w:r>
        <w:separator/>
      </w:r>
    </w:p>
  </w:footnote>
  <w:footnote w:type="continuationSeparator" w:id="0">
    <w:p w14:paraId="2FBF9542" w14:textId="77777777" w:rsidR="0017794E" w:rsidRDefault="0017794E" w:rsidP="002B5FC8">
      <w:pPr>
        <w:spacing w:before="0"/>
      </w:pPr>
      <w:r>
        <w:continuationSeparator/>
      </w:r>
    </w:p>
  </w:footnote>
  <w:footnote w:id="1">
    <w:p w14:paraId="33F2326F" w14:textId="77777777" w:rsidR="0017794E" w:rsidRPr="00483A17" w:rsidRDefault="0017794E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BCC674A" w14:textId="77777777" w:rsidR="0017794E" w:rsidRDefault="0017794E" w:rsidP="00126EB3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41AAFE3" w14:textId="77777777" w:rsidR="0017794E" w:rsidRPr="008618DD" w:rsidRDefault="0017794E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14:paraId="78960C27" w14:textId="77777777" w:rsidR="0017794E" w:rsidRDefault="0017794E" w:rsidP="00AF487B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14:paraId="1F80ED10" w14:textId="77777777" w:rsidR="00AF7944" w:rsidRDefault="00AF7944" w:rsidP="00AF7944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Calibri" w:hAnsi="Calibri" w:cs="Calibri"/>
          <w:sz w:val="14"/>
        </w:rPr>
        <w:t>Cf. formulaire « LC 4 ».</w:t>
      </w:r>
    </w:p>
  </w:footnote>
  <w:footnote w:id="6">
    <w:p w14:paraId="30134DCA" w14:textId="77777777" w:rsidR="00AF7944" w:rsidRDefault="00AF7944" w:rsidP="00AF7944">
      <w:pPr>
        <w:pStyle w:val="Notedebasdepage"/>
        <w:spacing w:before="0"/>
        <w:rPr>
          <w:rFonts w:ascii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>Cf. formulaire « EC 2 ».</w:t>
      </w:r>
    </w:p>
  </w:footnote>
  <w:footnote w:id="7">
    <w:p w14:paraId="5856F31A" w14:textId="259E75AA" w:rsidR="0017794E" w:rsidRDefault="0017794E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17794E" w:rsidRDefault="0017794E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17794E" w:rsidRDefault="0017794E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1E3"/>
    <w:multiLevelType w:val="hybridMultilevel"/>
    <w:tmpl w:val="7B96C8C8"/>
    <w:lvl w:ilvl="0" w:tplc="7608A5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833"/>
    <w:multiLevelType w:val="hybridMultilevel"/>
    <w:tmpl w:val="A81CE59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4"/>
  </w:num>
  <w:num w:numId="28">
    <w:abstractNumId w:val="22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3EF1"/>
    <w:rsid w:val="00076F2D"/>
    <w:rsid w:val="000871B2"/>
    <w:rsid w:val="00090BB6"/>
    <w:rsid w:val="00091D4C"/>
    <w:rsid w:val="00093A1B"/>
    <w:rsid w:val="00095B04"/>
    <w:rsid w:val="000961D7"/>
    <w:rsid w:val="000974BD"/>
    <w:rsid w:val="000A4658"/>
    <w:rsid w:val="000B2DA8"/>
    <w:rsid w:val="000B3E26"/>
    <w:rsid w:val="000B487B"/>
    <w:rsid w:val="000B572E"/>
    <w:rsid w:val="000B6002"/>
    <w:rsid w:val="000C0015"/>
    <w:rsid w:val="000C0702"/>
    <w:rsid w:val="000C1FB7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0F7554"/>
    <w:rsid w:val="00100DD0"/>
    <w:rsid w:val="0010344D"/>
    <w:rsid w:val="001047DC"/>
    <w:rsid w:val="00104998"/>
    <w:rsid w:val="00105D75"/>
    <w:rsid w:val="00105F8D"/>
    <w:rsid w:val="00111235"/>
    <w:rsid w:val="0012014E"/>
    <w:rsid w:val="0012568E"/>
    <w:rsid w:val="001263DE"/>
    <w:rsid w:val="00126EB3"/>
    <w:rsid w:val="00127104"/>
    <w:rsid w:val="00130909"/>
    <w:rsid w:val="0013325A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94E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7E0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2F8"/>
    <w:rsid w:val="00252681"/>
    <w:rsid w:val="0025341F"/>
    <w:rsid w:val="002548F1"/>
    <w:rsid w:val="00256A3C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007"/>
    <w:rsid w:val="002C5372"/>
    <w:rsid w:val="002D05EF"/>
    <w:rsid w:val="002D3CA5"/>
    <w:rsid w:val="002E07B0"/>
    <w:rsid w:val="002E0AFC"/>
    <w:rsid w:val="002E4B76"/>
    <w:rsid w:val="002F07C4"/>
    <w:rsid w:val="002F64D3"/>
    <w:rsid w:val="002F6848"/>
    <w:rsid w:val="003038E6"/>
    <w:rsid w:val="00305922"/>
    <w:rsid w:val="003114A0"/>
    <w:rsid w:val="00312520"/>
    <w:rsid w:val="00317059"/>
    <w:rsid w:val="00322038"/>
    <w:rsid w:val="00324338"/>
    <w:rsid w:val="00325838"/>
    <w:rsid w:val="0032726C"/>
    <w:rsid w:val="0032747F"/>
    <w:rsid w:val="00327C02"/>
    <w:rsid w:val="00331AF9"/>
    <w:rsid w:val="00333AF2"/>
    <w:rsid w:val="00334264"/>
    <w:rsid w:val="0033551E"/>
    <w:rsid w:val="00341A39"/>
    <w:rsid w:val="00347C5D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09AB"/>
    <w:rsid w:val="003D1B77"/>
    <w:rsid w:val="003D352C"/>
    <w:rsid w:val="003D6B25"/>
    <w:rsid w:val="003E077F"/>
    <w:rsid w:val="003E3003"/>
    <w:rsid w:val="003F2370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358A"/>
    <w:rsid w:val="004B539F"/>
    <w:rsid w:val="004B5B60"/>
    <w:rsid w:val="004B6425"/>
    <w:rsid w:val="004C01EA"/>
    <w:rsid w:val="004C7D1E"/>
    <w:rsid w:val="004C7F2B"/>
    <w:rsid w:val="004D05C5"/>
    <w:rsid w:val="004D0E4B"/>
    <w:rsid w:val="004D3249"/>
    <w:rsid w:val="004E257D"/>
    <w:rsid w:val="004E4528"/>
    <w:rsid w:val="004E4700"/>
    <w:rsid w:val="004E5405"/>
    <w:rsid w:val="004E6584"/>
    <w:rsid w:val="004E7D18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555F2"/>
    <w:rsid w:val="0056143B"/>
    <w:rsid w:val="00564DDD"/>
    <w:rsid w:val="00567D29"/>
    <w:rsid w:val="00571659"/>
    <w:rsid w:val="0057199F"/>
    <w:rsid w:val="005734DC"/>
    <w:rsid w:val="00575D0F"/>
    <w:rsid w:val="005807CE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E7745"/>
    <w:rsid w:val="005F24A3"/>
    <w:rsid w:val="005F309A"/>
    <w:rsid w:val="005F3F42"/>
    <w:rsid w:val="005F59CD"/>
    <w:rsid w:val="005F5E32"/>
    <w:rsid w:val="005F7CD3"/>
    <w:rsid w:val="006033AD"/>
    <w:rsid w:val="00604B05"/>
    <w:rsid w:val="006066E9"/>
    <w:rsid w:val="0061079A"/>
    <w:rsid w:val="00620055"/>
    <w:rsid w:val="00623532"/>
    <w:rsid w:val="00624478"/>
    <w:rsid w:val="00624747"/>
    <w:rsid w:val="006248A7"/>
    <w:rsid w:val="006274F2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3630"/>
    <w:rsid w:val="00655B7D"/>
    <w:rsid w:val="006614D5"/>
    <w:rsid w:val="006703C5"/>
    <w:rsid w:val="00671CFC"/>
    <w:rsid w:val="006739D9"/>
    <w:rsid w:val="00673C2A"/>
    <w:rsid w:val="0067449C"/>
    <w:rsid w:val="00680286"/>
    <w:rsid w:val="006828FF"/>
    <w:rsid w:val="00683F3B"/>
    <w:rsid w:val="0068458C"/>
    <w:rsid w:val="006848D7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20E5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15BE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41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1002"/>
    <w:rsid w:val="007B2977"/>
    <w:rsid w:val="007B4BFE"/>
    <w:rsid w:val="007C0CC0"/>
    <w:rsid w:val="007C0D41"/>
    <w:rsid w:val="007C1491"/>
    <w:rsid w:val="007C1A59"/>
    <w:rsid w:val="007C33A0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7F68BA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0A10"/>
    <w:rsid w:val="00882F9C"/>
    <w:rsid w:val="0088460A"/>
    <w:rsid w:val="00884B28"/>
    <w:rsid w:val="00885957"/>
    <w:rsid w:val="00887C26"/>
    <w:rsid w:val="00887D8B"/>
    <w:rsid w:val="0089254A"/>
    <w:rsid w:val="00895BC9"/>
    <w:rsid w:val="008A26C0"/>
    <w:rsid w:val="008A6403"/>
    <w:rsid w:val="008A6C9A"/>
    <w:rsid w:val="008B45E0"/>
    <w:rsid w:val="008B5EA1"/>
    <w:rsid w:val="008C09EE"/>
    <w:rsid w:val="008C6998"/>
    <w:rsid w:val="008D06A4"/>
    <w:rsid w:val="008D72CD"/>
    <w:rsid w:val="008E02A3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05DB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0FCA"/>
    <w:rsid w:val="00961A0F"/>
    <w:rsid w:val="00961EC2"/>
    <w:rsid w:val="0096266E"/>
    <w:rsid w:val="009724C8"/>
    <w:rsid w:val="00973434"/>
    <w:rsid w:val="00981245"/>
    <w:rsid w:val="00991E64"/>
    <w:rsid w:val="009921D1"/>
    <w:rsid w:val="009924F7"/>
    <w:rsid w:val="00995513"/>
    <w:rsid w:val="00997C84"/>
    <w:rsid w:val="009A1BF3"/>
    <w:rsid w:val="009A714A"/>
    <w:rsid w:val="009B4F92"/>
    <w:rsid w:val="009B56F7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2246"/>
    <w:rsid w:val="00A53813"/>
    <w:rsid w:val="00A63288"/>
    <w:rsid w:val="00A66320"/>
    <w:rsid w:val="00A708E8"/>
    <w:rsid w:val="00A70F48"/>
    <w:rsid w:val="00A736B4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976D0"/>
    <w:rsid w:val="00AA0E06"/>
    <w:rsid w:val="00AA1F2F"/>
    <w:rsid w:val="00AA3598"/>
    <w:rsid w:val="00AA4F85"/>
    <w:rsid w:val="00AA6B52"/>
    <w:rsid w:val="00AA758F"/>
    <w:rsid w:val="00AA7682"/>
    <w:rsid w:val="00AB0690"/>
    <w:rsid w:val="00AB2F69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1300"/>
    <w:rsid w:val="00AE3541"/>
    <w:rsid w:val="00AE464A"/>
    <w:rsid w:val="00AE48BA"/>
    <w:rsid w:val="00AE51BD"/>
    <w:rsid w:val="00AE55A7"/>
    <w:rsid w:val="00AE60E8"/>
    <w:rsid w:val="00AE6536"/>
    <w:rsid w:val="00AF3065"/>
    <w:rsid w:val="00AF41F3"/>
    <w:rsid w:val="00AF487B"/>
    <w:rsid w:val="00AF601A"/>
    <w:rsid w:val="00AF75AD"/>
    <w:rsid w:val="00AF7865"/>
    <w:rsid w:val="00AF7944"/>
    <w:rsid w:val="00B1178A"/>
    <w:rsid w:val="00B11DF6"/>
    <w:rsid w:val="00B160C3"/>
    <w:rsid w:val="00B16D38"/>
    <w:rsid w:val="00B26BF4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2DAB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54D0"/>
    <w:rsid w:val="00BF6D08"/>
    <w:rsid w:val="00BF75B4"/>
    <w:rsid w:val="00C0280B"/>
    <w:rsid w:val="00C04E54"/>
    <w:rsid w:val="00C10531"/>
    <w:rsid w:val="00C12CF7"/>
    <w:rsid w:val="00C15F2C"/>
    <w:rsid w:val="00C2016B"/>
    <w:rsid w:val="00C21AFF"/>
    <w:rsid w:val="00C26D47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0BF9"/>
    <w:rsid w:val="00C84B0D"/>
    <w:rsid w:val="00C90234"/>
    <w:rsid w:val="00C918E3"/>
    <w:rsid w:val="00C91F30"/>
    <w:rsid w:val="00C93936"/>
    <w:rsid w:val="00C93F7C"/>
    <w:rsid w:val="00CA1A21"/>
    <w:rsid w:val="00CA42E8"/>
    <w:rsid w:val="00CA7035"/>
    <w:rsid w:val="00CA7A8A"/>
    <w:rsid w:val="00CA7C71"/>
    <w:rsid w:val="00CB08CF"/>
    <w:rsid w:val="00CB159E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D70CF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26DD"/>
    <w:rsid w:val="00D150F2"/>
    <w:rsid w:val="00D17E74"/>
    <w:rsid w:val="00D2216D"/>
    <w:rsid w:val="00D25175"/>
    <w:rsid w:val="00D261C4"/>
    <w:rsid w:val="00D26B42"/>
    <w:rsid w:val="00D3171A"/>
    <w:rsid w:val="00D37172"/>
    <w:rsid w:val="00D37AC6"/>
    <w:rsid w:val="00D444B4"/>
    <w:rsid w:val="00D50647"/>
    <w:rsid w:val="00D55CED"/>
    <w:rsid w:val="00D6634F"/>
    <w:rsid w:val="00D74612"/>
    <w:rsid w:val="00D77777"/>
    <w:rsid w:val="00D819CF"/>
    <w:rsid w:val="00D81CED"/>
    <w:rsid w:val="00D864FF"/>
    <w:rsid w:val="00D86C04"/>
    <w:rsid w:val="00D901E5"/>
    <w:rsid w:val="00D907EE"/>
    <w:rsid w:val="00D927AD"/>
    <w:rsid w:val="00DA0094"/>
    <w:rsid w:val="00DA33F0"/>
    <w:rsid w:val="00DB1192"/>
    <w:rsid w:val="00DB2CA8"/>
    <w:rsid w:val="00DC11C6"/>
    <w:rsid w:val="00DC73BE"/>
    <w:rsid w:val="00DC7473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5962"/>
    <w:rsid w:val="00E5605A"/>
    <w:rsid w:val="00E562D3"/>
    <w:rsid w:val="00E607B8"/>
    <w:rsid w:val="00E64962"/>
    <w:rsid w:val="00E64F83"/>
    <w:rsid w:val="00E654CD"/>
    <w:rsid w:val="00E65A64"/>
    <w:rsid w:val="00E81417"/>
    <w:rsid w:val="00E86F45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D5638"/>
    <w:rsid w:val="00ED6252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3501F"/>
    <w:rsid w:val="00F470E3"/>
    <w:rsid w:val="00F50535"/>
    <w:rsid w:val="00F53D7C"/>
    <w:rsid w:val="00F5597D"/>
    <w:rsid w:val="00F57C8B"/>
    <w:rsid w:val="00F6231C"/>
    <w:rsid w:val="00F62751"/>
    <w:rsid w:val="00F62C55"/>
    <w:rsid w:val="00F637F0"/>
    <w:rsid w:val="00F67627"/>
    <w:rsid w:val="00F67D54"/>
    <w:rsid w:val="00F702E2"/>
    <w:rsid w:val="00F70D99"/>
    <w:rsid w:val="00F714EF"/>
    <w:rsid w:val="00F71F17"/>
    <w:rsid w:val="00F740CD"/>
    <w:rsid w:val="00F8452B"/>
    <w:rsid w:val="00F9238A"/>
    <w:rsid w:val="00FA6236"/>
    <w:rsid w:val="00FB273F"/>
    <w:rsid w:val="00FB3FD9"/>
    <w:rsid w:val="00FC3223"/>
    <w:rsid w:val="00FC32BC"/>
    <w:rsid w:val="00FC5135"/>
    <w:rsid w:val="00FD0232"/>
    <w:rsid w:val="00FD04C0"/>
    <w:rsid w:val="00FD1069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605C-537C-4C76-9C83-CD148B41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2632</Words>
  <Characters>14478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16</cp:revision>
  <cp:lastPrinted>2018-03-29T21:31:00Z</cp:lastPrinted>
  <dcterms:created xsi:type="dcterms:W3CDTF">2023-03-08T02:22:00Z</dcterms:created>
  <dcterms:modified xsi:type="dcterms:W3CDTF">2023-03-16T00:28:00Z</dcterms:modified>
</cp:coreProperties>
</file>