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CB0C08" w:rsidRPr="00FF680A" w:rsidRDefault="00CB0C08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1017B6" w:rsidRPr="0065318E" w:rsidRDefault="001017B6" w:rsidP="001017B6">
            <w:pPr>
              <w:spacing w:before="0"/>
              <w:jc w:val="left"/>
              <w:rPr>
                <w:rFonts w:eastAsia="Times New Roman" w:cs="Times New Roman"/>
                <w:lang w:eastAsia="fr-FR"/>
              </w:rPr>
            </w:pPr>
            <w:r w:rsidRPr="0065318E">
              <w:rPr>
                <w:rFonts w:cs="Times New Roman"/>
              </w:rPr>
              <w:t>Direction Polynésienne des Affaires Maritimes, représentée par sa Directrice, Madame Catherine ROCHETEAU</w:t>
            </w:r>
            <w:r w:rsidRPr="0065318E">
              <w:rPr>
                <w:rFonts w:eastAsia="Times New Roman" w:cs="Times New Roman"/>
                <w:lang w:eastAsia="fr-FR"/>
              </w:rPr>
              <w:t xml:space="preserve"> Adresse postale : B.P. 2551  -  98713 PAPEETE  - TAHITI  - Polynésie française</w:t>
            </w:r>
          </w:p>
          <w:p w:rsidR="001017B6" w:rsidRPr="0065318E" w:rsidRDefault="001017B6" w:rsidP="001017B6">
            <w:pPr>
              <w:autoSpaceDE w:val="0"/>
              <w:autoSpaceDN w:val="0"/>
              <w:adjustRightInd w:val="0"/>
              <w:spacing w:before="0"/>
              <w:rPr>
                <w:rFonts w:cs="Times New Roman"/>
                <w:color w:val="000000" w:themeColor="text1"/>
              </w:rPr>
            </w:pPr>
            <w:r w:rsidRPr="0065318E">
              <w:rPr>
                <w:rFonts w:cs="Times New Roman"/>
                <w:color w:val="000000" w:themeColor="text1"/>
              </w:rPr>
              <w:t>Immeuble SAT NUI, N°12, voie M, Fare Ute, Papeete</w:t>
            </w:r>
          </w:p>
          <w:p w:rsidR="001017B6" w:rsidRPr="001017B6" w:rsidRDefault="001017B6" w:rsidP="001017B6">
            <w:pPr>
              <w:autoSpaceDE w:val="0"/>
              <w:autoSpaceDN w:val="0"/>
              <w:adjustRightInd w:val="0"/>
              <w:spacing w:before="0"/>
              <w:jc w:val="left"/>
              <w:rPr>
                <w:rFonts w:cs="Times New Roman"/>
                <w:color w:val="000000" w:themeColor="text1"/>
              </w:rPr>
            </w:pPr>
            <w:r w:rsidRPr="001017B6">
              <w:rPr>
                <w:rFonts w:cs="Times New Roman"/>
                <w:color w:val="000000" w:themeColor="text1"/>
              </w:rPr>
              <w:t>BP.9005 – 98716 – Pirae</w:t>
            </w:r>
          </w:p>
          <w:p w:rsidR="00CB0C08" w:rsidRPr="001017B6" w:rsidRDefault="001017B6" w:rsidP="001017B6">
            <w:pPr>
              <w:pStyle w:val="Commentaire"/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lang w:eastAsia="zh-CN"/>
              </w:rPr>
            </w:pP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Téléphone : (689) 40 </w:t>
            </w: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54</w:t>
            </w: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45</w:t>
            </w: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0</w:t>
            </w: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t>0</w:t>
            </w: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br/>
              <w:t xml:space="preserve">Fax : (689) 40 </w:t>
            </w: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54 45 04</w:t>
            </w:r>
            <w:r w:rsidRPr="0065318E">
              <w:rPr>
                <w:rFonts w:eastAsia="Times New Roman" w:cs="Times New Roman"/>
                <w:sz w:val="22"/>
                <w:szCs w:val="22"/>
                <w:lang w:eastAsia="fr-FR"/>
              </w:rPr>
              <w:br/>
              <w:t xml:space="preserve">Courriel : </w:t>
            </w:r>
            <w:hyperlink r:id="rId9" w:history="1">
              <w:r w:rsidRPr="0092184E">
                <w:rPr>
                  <w:rStyle w:val="Lienhypertexte"/>
                  <w:rFonts w:cs="Times New Roman"/>
                  <w:sz w:val="22"/>
                  <w:szCs w:val="22"/>
                </w:rPr>
                <w:t>accueil.dpam@administration</w:t>
              </w:r>
              <w:r w:rsidRPr="0092184E">
                <w:rPr>
                  <w:rStyle w:val="Lienhypertexte"/>
                  <w:rFonts w:eastAsia="Times New Roman" w:cs="Times New Roman"/>
                  <w:sz w:val="22"/>
                  <w:szCs w:val="22"/>
                  <w:lang w:eastAsia="fr-FR"/>
                </w:rPr>
                <w:t>.gov.pf</w:t>
              </w:r>
            </w:hyperlink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FF680A" w:rsidRPr="00FF680A" w:rsidRDefault="00FF680A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1017B6" w:rsidRPr="001017B6" w:rsidRDefault="001017B6" w:rsidP="001017B6">
            <w:pPr>
              <w:pStyle w:val="-LettrePJGEDA"/>
              <w:tabs>
                <w:tab w:val="left" w:pos="709"/>
              </w:tabs>
              <w:spacing w:before="0"/>
              <w:ind w:left="0" w:firstLine="22"/>
              <w:rPr>
                <w:bCs/>
                <w:sz w:val="22"/>
                <w:szCs w:val="22"/>
              </w:rPr>
            </w:pPr>
            <w:r w:rsidRPr="001017B6">
              <w:rPr>
                <w:noProof w:val="0"/>
                <w:sz w:val="22"/>
                <w:szCs w:val="22"/>
              </w:rPr>
              <w:t xml:space="preserve">Consultation n° 2023-05-MGT-DPAM : </w:t>
            </w:r>
            <w:r w:rsidRPr="001017B6">
              <w:rPr>
                <w:bCs/>
                <w:sz w:val="22"/>
                <w:szCs w:val="22"/>
              </w:rPr>
              <w:t xml:space="preserve">Réalisation d’un ensemble d’études des fonds marins et des besoins techniques pour l’implantation d’ancrages écologiques dans les eaux intérieures des îles de Raiatea et Taha’a : </w:t>
            </w:r>
          </w:p>
          <w:p w:rsidR="001017B6" w:rsidRPr="001017B6" w:rsidRDefault="001017B6" w:rsidP="001017B6">
            <w:pPr>
              <w:pStyle w:val="-LettreSuiteORefPJGED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017B6">
              <w:rPr>
                <w:rFonts w:cs="Calibri"/>
                <w:sz w:val="22"/>
                <w:szCs w:val="22"/>
              </w:rPr>
              <w:t>Etude technique pour la détermination des emplacements les plus appropriés pour la pose des dispositifs d’ancrage dans des zones de mouillage dans</w:t>
            </w:r>
            <w:bookmarkStart w:id="0" w:name="_GoBack"/>
            <w:bookmarkEnd w:id="0"/>
            <w:r w:rsidRPr="001017B6">
              <w:rPr>
                <w:rFonts w:cs="Calibri"/>
                <w:sz w:val="22"/>
                <w:szCs w:val="22"/>
              </w:rPr>
              <w:t xml:space="preserve"> les eaux intérieures des îles de Raiatea et Taha’a ;</w:t>
            </w:r>
          </w:p>
          <w:p w:rsidR="001017B6" w:rsidRPr="001017B6" w:rsidRDefault="001017B6" w:rsidP="001017B6">
            <w:pPr>
              <w:pStyle w:val="-LettreSuiteORefPJGED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017B6">
              <w:rPr>
                <w:rFonts w:cs="Calibri"/>
                <w:sz w:val="22"/>
                <w:szCs w:val="22"/>
              </w:rPr>
              <w:t xml:space="preserve">Détermination des méthodes de fixation et de pose des dispositifs d’ancrage les plus adaptées. </w:t>
            </w:r>
          </w:p>
          <w:p w:rsidR="00084C4B" w:rsidRPr="0086643E" w:rsidRDefault="001017B6" w:rsidP="001017B6">
            <w:pPr>
              <w:pStyle w:val="TM3"/>
              <w:rPr>
                <w:lang w:eastAsia="zh-CN"/>
              </w:rPr>
            </w:pPr>
            <w:r w:rsidRPr="00233FDF">
              <w:rPr>
                <w:rFonts w:ascii="Times New Roman" w:hAnsi="Times New Roman" w:cs="Times New Roman"/>
                <w:b w:val="0"/>
                <w:color w:val="auto"/>
              </w:rPr>
              <w:t>Réalisation d’une étude d’avant-projet de dimensionnement des installations d’ancrage sur chaque zone de mouillage, réalisée de façon stricte et précise</w:t>
            </w:r>
            <w:r w:rsidRPr="00233F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33FDF">
              <w:rPr>
                <w:rFonts w:ascii="Times New Roman" w:hAnsi="Times New Roman" w:cs="Times New Roman"/>
                <w:b w:val="0"/>
                <w:color w:val="auto"/>
              </w:rPr>
              <w:t xml:space="preserve">avec la réalisation d’étude de sol et sous-sol, de relevés bathymétriques et la prise en compte des données environnementales </w:t>
            </w:r>
            <w:r w:rsidRPr="00233FDF">
              <w:rPr>
                <w:rFonts w:ascii="Times New Roman" w:hAnsi="Times New Roman" w:cs="Times New Roman"/>
                <w:b w:val="0"/>
              </w:rPr>
              <w:t>(marée</w:t>
            </w:r>
            <w:r w:rsidRPr="002B3BAB">
              <w:rPr>
                <w:rFonts w:cs="Calibri"/>
              </w:rPr>
              <w:t>, courants, vents …).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1017B6">
        <w:trPr>
          <w:trHeight w:val="1508"/>
        </w:trPr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Pr="00D11170" w:rsidRDefault="00FF680A" w:rsidP="00FF680A">
            <w:pPr>
              <w:pStyle w:val="Paragraphedeliste"/>
              <w:numPr>
                <w:ilvl w:val="0"/>
                <w:numId w:val="11"/>
              </w:numPr>
              <w:ind w:left="851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de non allotissement :</w:t>
            </w:r>
          </w:p>
          <w:p w:rsidR="001017B6" w:rsidRDefault="001017B6" w:rsidP="001017B6">
            <w:pPr>
              <w:keepNext/>
              <w:suppressAutoHyphens/>
              <w:spacing w:before="240"/>
              <w:ind w:left="851"/>
              <w:jc w:val="left"/>
              <w:outlineLvl w:val="0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060BF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060BF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le march</w:t>
            </w:r>
            <w:r w:rsidR="00FF680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 public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FF680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</w:p>
          <w:p w:rsidR="001017B6" w:rsidRPr="001017B6" w:rsidRDefault="001017B6" w:rsidP="001017B6">
            <w:pPr>
              <w:keepNext/>
              <w:suppressAutoHyphens/>
              <w:spacing w:before="240"/>
              <w:ind w:left="851"/>
              <w:jc w:val="left"/>
              <w:outlineLvl w:val="0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5C74" w:rsidRPr="00480A79" w:rsidTr="00AE7DA1">
        <w:tc>
          <w:tcPr>
            <w:tcW w:w="10405" w:type="dxa"/>
            <w:shd w:val="clear" w:color="auto" w:fill="990033"/>
          </w:tcPr>
          <w:p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4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tablissement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:rsidR="00F275B3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5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6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:rsidR="00F275B3" w:rsidRPr="009C7C42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27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="00060BF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4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Default="001017B6" w:rsidP="00BB4525">
      <w:pPr>
        <w:spacing w:before="0"/>
        <w:rPr>
          <w:rFonts w:asciiTheme="minorHAnsi" w:hAnsiTheme="minorHAnsi"/>
          <w:sz w:val="14"/>
        </w:rPr>
      </w:pPr>
    </w:p>
    <w:p w:rsidR="001017B6" w:rsidRPr="00BB4525" w:rsidRDefault="001017B6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1017B6">
        <w:tc>
          <w:tcPr>
            <w:tcW w:w="10194" w:type="dxa"/>
            <w:shd w:val="clear" w:color="auto" w:fill="990033"/>
          </w:tcPr>
          <w:p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1017B6">
        <w:tc>
          <w:tcPr>
            <w:tcW w:w="10194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  <w:tr w:rsidR="00F04C85" w:rsidRPr="00480A79" w:rsidTr="001017B6">
        <w:tc>
          <w:tcPr>
            <w:tcW w:w="10194" w:type="dxa"/>
            <w:shd w:val="clear" w:color="auto" w:fill="990033"/>
          </w:tcPr>
          <w:p w:rsidR="00F04C85" w:rsidRPr="00480A79" w:rsidRDefault="001B627F" w:rsidP="00D773D3">
            <w:pPr>
              <w:pStyle w:val="TM3"/>
            </w:pPr>
            <w:r>
              <w:rPr>
                <w:sz w:val="20"/>
              </w:rPr>
              <w:br w:type="page"/>
            </w:r>
            <w:r w:rsidR="00232938"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1017B6">
        <w:tc>
          <w:tcPr>
            <w:tcW w:w="10194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60B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60B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60B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60B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60BF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60BF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60BF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60BF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Default="00C35401" w:rsidP="00C35401">
      <w:pPr>
        <w:spacing w:before="0"/>
        <w:rPr>
          <w:rFonts w:asciiTheme="minorHAnsi" w:hAnsiTheme="minorHAnsi"/>
          <w:sz w:val="14"/>
        </w:rPr>
      </w:pPr>
    </w:p>
    <w:p w:rsidR="001017B6" w:rsidRDefault="001017B6" w:rsidP="00C35401">
      <w:pPr>
        <w:spacing w:before="0"/>
        <w:rPr>
          <w:rFonts w:asciiTheme="minorHAnsi" w:hAnsiTheme="minorHAnsi"/>
          <w:sz w:val="14"/>
        </w:rPr>
      </w:pPr>
    </w:p>
    <w:p w:rsidR="001017B6" w:rsidRPr="00C35401" w:rsidRDefault="001017B6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lastRenderedPageBreak/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10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F0" w:rsidRDefault="00060BF0" w:rsidP="002B5FC8">
      <w:pPr>
        <w:spacing w:before="0"/>
      </w:pPr>
      <w:r>
        <w:separator/>
      </w:r>
    </w:p>
  </w:endnote>
  <w:endnote w:type="continuationSeparator" w:id="0">
    <w:p w:rsidR="00060BF0" w:rsidRDefault="00060BF0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1017B6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bookmarkStart w:id="5" w:name="_Hlk141350733"/>
          <w:r w:rsidRPr="00EF5934">
            <w:rPr>
              <w:rFonts w:ascii="Calibri" w:hAnsi="Calibri" w:cs="Calibri"/>
              <w:sz w:val="18"/>
            </w:rPr>
            <w:t>Consultation n°2023-05-MGT-DPAM</w:t>
          </w:r>
          <w:r>
            <w:rPr>
              <w:rFonts w:ascii="Calibri" w:hAnsi="Calibri" w:cs="Calibri"/>
              <w:sz w:val="18"/>
            </w:rPr>
            <w:t xml:space="preserve"> -</w:t>
          </w:r>
          <w:r w:rsidRPr="00EF5934">
            <w:rPr>
              <w:rFonts w:ascii="Calibri" w:hAnsi="Calibri" w:cs="Calibri"/>
              <w:sz w:val="18"/>
            </w:rPr>
            <w:t xml:space="preserve"> </w:t>
          </w:r>
          <w:bookmarkEnd w:id="5"/>
          <w:r>
            <w:rPr>
              <w:rFonts w:ascii="Calibri" w:hAnsi="Calibri" w:cs="Calibri"/>
              <w:sz w:val="18"/>
            </w:rPr>
            <w:t>E</w:t>
          </w:r>
          <w:r w:rsidRPr="00EF5934">
            <w:rPr>
              <w:rFonts w:ascii="Calibri" w:hAnsi="Calibri" w:cs="Calibri"/>
              <w:sz w:val="18"/>
            </w:rPr>
            <w:t xml:space="preserve">tudes des fonds marins et des besoins techniques pour l’implantation d’ancrages écologiques dans les eaux intérieures aux abords des îles de Raiatea et </w:t>
          </w:r>
          <w:proofErr w:type="spellStart"/>
          <w:r w:rsidRPr="00EF5934">
            <w:rPr>
              <w:rFonts w:ascii="Calibri" w:hAnsi="Calibri" w:cs="Calibri"/>
              <w:sz w:val="18"/>
            </w:rPr>
            <w:t>Taha’a</w:t>
          </w:r>
          <w:proofErr w:type="spellEnd"/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F0" w:rsidRDefault="00060BF0" w:rsidP="002B5FC8">
      <w:pPr>
        <w:spacing w:before="0"/>
      </w:pPr>
      <w:r>
        <w:separator/>
      </w:r>
    </w:p>
  </w:footnote>
  <w:footnote w:type="continuationSeparator" w:id="0">
    <w:p w:rsidR="00060BF0" w:rsidRDefault="00060BF0" w:rsidP="002B5FC8">
      <w:pPr>
        <w:spacing w:before="0"/>
      </w:pPr>
      <w:r>
        <w:continuationSeparator/>
      </w:r>
    </w:p>
  </w:footnote>
  <w:footnote w:id="1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764522"/>
    <w:multiLevelType w:val="hybridMultilevel"/>
    <w:tmpl w:val="E2A45A52"/>
    <w:lvl w:ilvl="0" w:tplc="459262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5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 w:numId="3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0BF0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17B6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3FDF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9618E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C47CD"/>
    <w:rPr>
      <w:rFonts w:ascii="Tahoma" w:hAnsi="Tahoma" w:cs="Tahoma"/>
      <w:sz w:val="16"/>
      <w:szCs w:val="16"/>
    </w:rPr>
  </w:style>
  <w:style w:type="paragraph" w:customStyle="1" w:styleId="-LettreSuiteORefPJGEDA">
    <w:name w:val="- Lettre:Suite O/Ref/PJ GEDA"/>
    <w:rsid w:val="001017B6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PJGEDA">
    <w:name w:val="- Lettre:P.J.                  GEDA"/>
    <w:basedOn w:val="Normal"/>
    <w:next w:val="-LettreSuiteORefPJGEDA"/>
    <w:rsid w:val="001017B6"/>
    <w:pPr>
      <w:overflowPunct w:val="0"/>
      <w:autoSpaceDE w:val="0"/>
      <w:autoSpaceDN w:val="0"/>
      <w:adjustRightInd w:val="0"/>
      <w:spacing w:before="80"/>
      <w:ind w:left="851" w:hanging="851"/>
      <w:textAlignment w:val="baseline"/>
    </w:pPr>
    <w:rPr>
      <w:rFonts w:eastAsia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ueil.dpam@administration.gov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E57E-BD9C-44E8-A84F-56FE90AE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Virginie GANAHOA</cp:lastModifiedBy>
  <cp:revision>4</cp:revision>
  <cp:lastPrinted>2018-05-29T01:41:00Z</cp:lastPrinted>
  <dcterms:created xsi:type="dcterms:W3CDTF">2023-07-27T23:31:00Z</dcterms:created>
  <dcterms:modified xsi:type="dcterms:W3CDTF">2023-07-28T01:16:00Z</dcterms:modified>
</cp:coreProperties>
</file>