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70531A">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r w:rsidR="0033289A" w:rsidRPr="005E46C0">
        <w:rPr>
          <w:rFonts w:ascii="Arial Narrow" w:eastAsia="Calibri" w:hAnsi="Arial Narrow"/>
          <w:smallCaps/>
          <w:sz w:val="16"/>
          <w:szCs w:val="19"/>
        </w:rPr>
        <w:t>lexpol</w:t>
      </w:r>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375191" w:rsidRPr="00251F02" w:rsidRDefault="00DF6DE4" w:rsidP="00B81BA2">
            <w:pPr>
              <w:suppressAutoHyphens/>
              <w:spacing w:before="20"/>
              <w:ind w:left="-142"/>
              <w:jc w:val="left"/>
              <w:rPr>
                <w:rFonts w:ascii="Arial Narrow" w:eastAsia="Times New Roman" w:hAnsi="Arial Narrow" w:cstheme="minorHAnsi"/>
                <w:bCs/>
                <w:i/>
                <w:iCs/>
                <w:sz w:val="14"/>
                <w:szCs w:val="20"/>
                <w:lang w:eastAsia="zh-CN"/>
              </w:rPr>
            </w:pPr>
            <w:r w:rsidRPr="00251F02">
              <w:rPr>
                <w:rFonts w:ascii="Arial Narrow" w:eastAsia="Times New Roman" w:hAnsi="Arial Narrow" w:cstheme="minorHAnsi"/>
                <w:bCs/>
                <w:i/>
                <w:iCs/>
                <w:sz w:val="14"/>
                <w:szCs w:val="20"/>
                <w:lang w:eastAsia="zh-CN"/>
              </w:rPr>
              <w:t xml:space="preserve"> </w:t>
            </w:r>
            <w:r w:rsidR="00A31050" w:rsidRPr="00251F02">
              <w:rPr>
                <w:rFonts w:ascii="Arial Narrow" w:eastAsia="Times New Roman" w:hAnsi="Arial Narrow" w:cstheme="minorHAnsi"/>
                <w:bCs/>
                <w:i/>
                <w:iCs/>
                <w:sz w:val="14"/>
                <w:szCs w:val="20"/>
                <w:lang w:eastAsia="zh-CN"/>
              </w:rPr>
              <w:t>(</w:t>
            </w:r>
            <w:r w:rsidR="00375191" w:rsidRPr="006B1D46">
              <w:rPr>
                <w:rFonts w:ascii="Arial Narrow" w:eastAsia="Times New Roman" w:hAnsi="Arial Narrow" w:cstheme="minorHAnsi"/>
                <w:b/>
                <w:bCs/>
                <w:i/>
                <w:iCs/>
                <w:sz w:val="14"/>
                <w:szCs w:val="20"/>
                <w:lang w:eastAsia="zh-CN"/>
              </w:rPr>
              <w:t>Reprendre</w:t>
            </w:r>
            <w:r w:rsidR="00375191" w:rsidRPr="00251F02">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85031F" w:rsidRDefault="0085031F" w:rsidP="00B81BA2">
            <w:pPr>
              <w:suppressAutoHyphens/>
              <w:spacing w:before="0"/>
              <w:jc w:val="left"/>
              <w:rPr>
                <w:rFonts w:asciiTheme="minorHAnsi" w:eastAsia="Times New Roman" w:hAnsiTheme="minorHAnsi" w:cstheme="minorHAnsi"/>
                <w:sz w:val="20"/>
                <w:szCs w:val="20"/>
                <w:lang w:eastAsia="zh-CN"/>
              </w:rPr>
            </w:pPr>
          </w:p>
          <w:p w:rsidR="008B1C31" w:rsidRDefault="008B1C31" w:rsidP="008B1C31">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8B1C31" w:rsidRPr="003F3314" w:rsidRDefault="008B1C31" w:rsidP="008B1C31">
            <w:pPr>
              <w:suppressAutoHyphens/>
              <w:spacing w:before="0"/>
              <w:rPr>
                <w:rFonts w:asciiTheme="minorHAnsi" w:hAnsiTheme="minorHAnsi"/>
                <w:sz w:val="20"/>
                <w:szCs w:val="20"/>
              </w:rPr>
            </w:pPr>
            <w:r>
              <w:rPr>
                <w:rFonts w:asciiTheme="minorHAnsi" w:eastAsia="Times New Roman" w:hAnsiTheme="minorHAnsi" w:cstheme="minorHAnsi"/>
                <w:sz w:val="20"/>
                <w:szCs w:val="20"/>
                <w:lang w:eastAsia="zh-CN"/>
              </w:rPr>
              <w:t>Monsieur 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Pr="001C1CA9">
              <w:rPr>
                <w:rFonts w:asciiTheme="minorHAnsi" w:hAnsiTheme="minorHAnsi"/>
                <w:sz w:val="20"/>
                <w:szCs w:val="20"/>
              </w:rPr>
              <w:t>Ministre des grands travaux, de l’équipement, en charge des transports aériens, terrestres et maritimes</w:t>
            </w:r>
          </w:p>
          <w:p w:rsidR="008B1C31" w:rsidRPr="00496BD6"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8B1C31" w:rsidRPr="00496BD6"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8B1C31" w:rsidRPr="00496BD6"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rsidR="008B1C31" w:rsidRPr="00496BD6"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40 46 80 19</w:t>
            </w:r>
          </w:p>
          <w:p w:rsidR="008B1C31" w:rsidRPr="00496BD6"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40 48 37 92</w:t>
            </w:r>
          </w:p>
          <w:p w:rsidR="008B1C31" w:rsidRPr="0086643E" w:rsidRDefault="008B1C31" w:rsidP="008B1C3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Pr="001C1CA9">
              <w:rPr>
                <w:rFonts w:asciiTheme="minorHAnsi" w:hAnsiTheme="minorHAnsi"/>
                <w:sz w:val="20"/>
                <w:szCs w:val="20"/>
              </w:rPr>
              <w:t>secretariat.mgt@gouvernement.pf</w:t>
            </w:r>
            <w:bookmarkEnd w:id="0"/>
          </w:p>
          <w:p w:rsidR="008A4D81" w:rsidRPr="0066383B" w:rsidRDefault="008A4D81" w:rsidP="0066383B">
            <w:pPr>
              <w:suppressAutoHyphens/>
              <w:spacing w:before="0"/>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084C4B" w:rsidRPr="00251F02" w:rsidRDefault="00084C4B" w:rsidP="00671C25">
            <w:pPr>
              <w:suppressAutoHyphens/>
              <w:spacing w:before="20"/>
              <w:ind w:left="-142"/>
              <w:rPr>
                <w:rFonts w:ascii="Arial Narrow" w:eastAsia="Times New Roman" w:hAnsi="Arial Narrow" w:cstheme="minorHAnsi"/>
                <w:bCs/>
                <w:i/>
                <w:iCs/>
                <w:color w:val="000000" w:themeColor="text1"/>
                <w:sz w:val="14"/>
                <w:szCs w:val="20"/>
                <w:lang w:eastAsia="zh-CN"/>
              </w:rPr>
            </w:pPr>
            <w:r w:rsidRPr="00251F02">
              <w:rPr>
                <w:rFonts w:ascii="Arial Narrow" w:eastAsia="Times New Roman" w:hAnsi="Arial Narrow" w:cstheme="minorHAnsi"/>
                <w:bCs/>
                <w:i/>
                <w:iCs/>
                <w:color w:val="000000" w:themeColor="text1"/>
                <w:sz w:val="14"/>
                <w:szCs w:val="20"/>
                <w:lang w:eastAsia="zh-CN"/>
              </w:rPr>
              <w:t xml:space="preserve"> (</w:t>
            </w:r>
            <w:r w:rsidRPr="006B1D46">
              <w:rPr>
                <w:rFonts w:ascii="Arial Narrow" w:eastAsia="Times New Roman" w:hAnsi="Arial Narrow" w:cstheme="minorHAnsi"/>
                <w:b/>
                <w:bCs/>
                <w:i/>
                <w:iCs/>
                <w:color w:val="000000" w:themeColor="text1"/>
                <w:sz w:val="14"/>
                <w:szCs w:val="20"/>
                <w:lang w:eastAsia="zh-CN"/>
              </w:rPr>
              <w:t>Reprendre</w:t>
            </w:r>
            <w:r w:rsidRPr="00251F02">
              <w:rPr>
                <w:rFonts w:ascii="Arial Narrow" w:eastAsia="Times New Roman" w:hAnsi="Arial Narrow" w:cstheme="minorHAnsi"/>
                <w:bCs/>
                <w:i/>
                <w:iCs/>
                <w:color w:val="000000" w:themeColor="text1"/>
                <w:sz w:val="14"/>
                <w:szCs w:val="20"/>
                <w:lang w:eastAsia="zh-CN"/>
              </w:rPr>
              <w:t xml:space="preserve"> le contenu de la mention figurant dans l’avis d’appel public à la concurrence ou la lettre de consultation.)</w:t>
            </w:r>
          </w:p>
          <w:p w:rsidR="00084C4B" w:rsidRPr="000415B8" w:rsidRDefault="00084C4B" w:rsidP="00671C25">
            <w:pPr>
              <w:suppressAutoHyphens/>
              <w:spacing w:before="0"/>
              <w:rPr>
                <w:rFonts w:asciiTheme="minorHAnsi" w:eastAsia="Times New Roman" w:hAnsiTheme="minorHAnsi" w:cstheme="minorHAnsi"/>
                <w:color w:val="000000" w:themeColor="text1"/>
                <w:sz w:val="20"/>
                <w:szCs w:val="20"/>
                <w:lang w:eastAsia="zh-CN"/>
              </w:rPr>
            </w:pPr>
          </w:p>
          <w:p w:rsidR="008B1C31" w:rsidRPr="00530EF3" w:rsidRDefault="008B1C31" w:rsidP="008B1C31">
            <w:pPr>
              <w:suppressAutoHyphens/>
              <w:spacing w:before="0"/>
              <w:rPr>
                <w:rFonts w:asciiTheme="minorHAnsi" w:eastAsia="Times New Roman" w:hAnsiTheme="minorHAnsi" w:cstheme="minorHAnsi"/>
                <w:sz w:val="20"/>
                <w:szCs w:val="20"/>
                <w:lang w:eastAsia="zh-CN"/>
              </w:rPr>
            </w:pPr>
            <w:r w:rsidRPr="00530EF3">
              <w:rPr>
                <w:rFonts w:asciiTheme="minorHAnsi" w:eastAsia="Times New Roman" w:hAnsiTheme="minorHAnsi" w:cstheme="minorHAnsi"/>
                <w:sz w:val="20"/>
                <w:szCs w:val="20"/>
                <w:lang w:eastAsia="zh-CN"/>
              </w:rPr>
              <w:t xml:space="preserve">Marché AO n° MGT-DPAM-2023-04 : </w:t>
            </w:r>
            <w:r w:rsidRPr="00530EF3">
              <w:rPr>
                <w:rFonts w:asciiTheme="minorHAnsi" w:hAnsiTheme="minorHAnsi"/>
                <w:sz w:val="20"/>
                <w:szCs w:val="20"/>
              </w:rPr>
              <w:t>Dépollution et retrait du navire «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p>
          <w:p w:rsidR="008B1C31" w:rsidRPr="00C642A6" w:rsidRDefault="008B1C31" w:rsidP="008B1C31">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 xml:space="preserve">Prestations de services consistant à </w:t>
            </w:r>
            <w:r>
              <w:rPr>
                <w:rFonts w:asciiTheme="minorHAnsi" w:eastAsia="Times New Roman" w:hAnsiTheme="minorHAnsi" w:cstheme="minorHAnsi"/>
                <w:sz w:val="20"/>
                <w:szCs w:val="20"/>
                <w:lang w:eastAsia="zh-CN"/>
              </w:rPr>
              <w:t xml:space="preserve">dépolluer et </w:t>
            </w:r>
            <w:r w:rsidRPr="00C642A6">
              <w:rPr>
                <w:rFonts w:asciiTheme="minorHAnsi" w:eastAsia="Times New Roman" w:hAnsiTheme="minorHAnsi" w:cstheme="minorHAnsi"/>
                <w:sz w:val="20"/>
                <w:szCs w:val="20"/>
                <w:lang w:eastAsia="zh-CN"/>
              </w:rPr>
              <w:t xml:space="preserve">retirer l’épave du navire dénommé </w:t>
            </w:r>
            <w:r w:rsidRPr="00530EF3">
              <w:rPr>
                <w:rFonts w:asciiTheme="minorHAnsi" w:hAnsiTheme="minorHAnsi"/>
                <w:sz w:val="20"/>
                <w:szCs w:val="20"/>
              </w:rPr>
              <w:t>«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r w:rsidRPr="00C642A6">
              <w:rPr>
                <w:rFonts w:asciiTheme="minorHAnsi" w:eastAsia="Times New Roman" w:hAnsiTheme="minorHAnsi" w:cstheme="minorHAnsi"/>
                <w:sz w:val="20"/>
                <w:szCs w:val="20"/>
                <w:lang w:eastAsia="zh-CN"/>
              </w:rPr>
              <w:t xml:space="preserve"> avec les impératifs suivants :  </w:t>
            </w:r>
          </w:p>
          <w:p w:rsidR="002D7A33" w:rsidRPr="002D7A33" w:rsidRDefault="002D7A33" w:rsidP="002D7A33">
            <w:pPr>
              <w:suppressAutoHyphens/>
              <w:spacing w:before="0"/>
              <w:rPr>
                <w:rFonts w:asciiTheme="minorHAnsi" w:eastAsia="Times New Roman" w:hAnsiTheme="minorHAnsi" w:cstheme="minorHAnsi"/>
                <w:sz w:val="20"/>
                <w:szCs w:val="20"/>
                <w:lang w:eastAsia="zh-CN"/>
              </w:rPr>
            </w:pPr>
            <w:r w:rsidRPr="00886CDE">
              <w:rPr>
                <w:rFonts w:asciiTheme="minorHAnsi" w:eastAsia="Times New Roman" w:hAnsiTheme="minorHAnsi" w:cstheme="minorHAnsi"/>
                <w:sz w:val="20"/>
                <w:szCs w:val="20"/>
                <w:lang w:eastAsia="zh-CN"/>
              </w:rPr>
              <w:t>a)</w:t>
            </w:r>
            <w:r w:rsidRPr="00886CDE">
              <w:rPr>
                <w:rFonts w:asciiTheme="minorHAnsi" w:eastAsia="Times New Roman" w:hAnsiTheme="minorHAnsi" w:cstheme="minorHAnsi"/>
                <w:sz w:val="20"/>
                <w:szCs w:val="20"/>
                <w:lang w:eastAsia="zh-CN"/>
              </w:rPr>
              <w:tab/>
              <w:t>réduction au minimum de l’impact des</w:t>
            </w:r>
            <w:r w:rsidRPr="002D7A33">
              <w:rPr>
                <w:rFonts w:asciiTheme="minorHAnsi" w:eastAsia="Times New Roman" w:hAnsiTheme="minorHAnsi" w:cstheme="minorHAnsi"/>
                <w:sz w:val="20"/>
                <w:szCs w:val="20"/>
                <w:lang w:eastAsia="zh-CN"/>
              </w:rPr>
              <w:t xml:space="preserve"> travaux sur le récif corallien ; </w:t>
            </w:r>
          </w:p>
          <w:p w:rsidR="002D7A33" w:rsidRPr="002D7A33" w:rsidRDefault="002D7A33" w:rsidP="002D7A3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b)</w:t>
            </w:r>
            <w:r w:rsidRPr="002D7A33">
              <w:rPr>
                <w:rFonts w:asciiTheme="minorHAnsi" w:eastAsia="Times New Roman" w:hAnsiTheme="minorHAnsi" w:cstheme="minorHAnsi"/>
                <w:sz w:val="20"/>
                <w:szCs w:val="20"/>
                <w:lang w:eastAsia="zh-CN"/>
              </w:rPr>
              <w:tab/>
              <w:t xml:space="preserve">aucune pollution marine ou terrestre par les polluants se trouvant actuellement dans le navire ou aux alentours (par exemple carburant, huiles, affaires diverses, …) ; </w:t>
            </w:r>
          </w:p>
          <w:p w:rsidR="002D7A33" w:rsidRPr="002D7A33" w:rsidRDefault="002D7A33" w:rsidP="002D7A3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c)</w:t>
            </w:r>
            <w:r w:rsidRPr="002D7A33">
              <w:rPr>
                <w:rFonts w:asciiTheme="minorHAnsi" w:eastAsia="Times New Roman" w:hAnsiTheme="minorHAnsi" w:cstheme="minorHAnsi"/>
                <w:sz w:val="20"/>
                <w:szCs w:val="20"/>
                <w:lang w:eastAsia="zh-CN"/>
              </w:rPr>
              <w:tab/>
              <w:t xml:space="preserve">remise en état du site d’échouement avec notamment nettoyage du site et des traces éventuelles d’hydrocarbures ; </w:t>
            </w:r>
          </w:p>
          <w:p w:rsidR="002D7A33" w:rsidRPr="002D7A33" w:rsidRDefault="002D7A33" w:rsidP="002D7A3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d)</w:t>
            </w:r>
            <w:r w:rsidRPr="002D7A33">
              <w:rPr>
                <w:rFonts w:asciiTheme="minorHAnsi" w:eastAsia="Times New Roman" w:hAnsiTheme="minorHAnsi" w:cstheme="minorHAnsi"/>
                <w:sz w:val="20"/>
                <w:szCs w:val="20"/>
                <w:lang w:eastAsia="zh-CN"/>
              </w:rPr>
              <w:tab/>
              <w:t xml:space="preserve">pas d’immersion de l’épave dans les eaux territoriales ou la zone économique exclusive de la Polynésie française ; </w:t>
            </w:r>
          </w:p>
          <w:p w:rsidR="002D7A33" w:rsidRPr="002D7A33" w:rsidRDefault="002D7A33" w:rsidP="002D7A33">
            <w:pPr>
              <w:suppressAutoHyphens/>
              <w:spacing w:before="0"/>
              <w:rPr>
                <w:rFonts w:asciiTheme="minorHAnsi" w:eastAsia="Times New Roman" w:hAnsiTheme="minorHAnsi" w:cstheme="minorHAnsi"/>
                <w:sz w:val="20"/>
                <w:szCs w:val="20"/>
                <w:lang w:eastAsia="zh-CN"/>
              </w:rPr>
            </w:pPr>
            <w:r w:rsidRPr="002D7A33">
              <w:rPr>
                <w:rFonts w:asciiTheme="minorHAnsi" w:eastAsia="Times New Roman" w:hAnsiTheme="minorHAnsi" w:cstheme="minorHAnsi"/>
                <w:sz w:val="20"/>
                <w:szCs w:val="20"/>
                <w:lang w:eastAsia="zh-CN"/>
              </w:rPr>
              <w:t>e)</w:t>
            </w:r>
            <w:r w:rsidRPr="002D7A33">
              <w:rPr>
                <w:rFonts w:asciiTheme="minorHAnsi" w:eastAsia="Times New Roman" w:hAnsiTheme="minorHAnsi" w:cstheme="minorHAnsi"/>
                <w:sz w:val="20"/>
                <w:szCs w:val="20"/>
                <w:lang w:eastAsia="zh-CN"/>
              </w:rPr>
              <w:tab/>
              <w:t>remise des déchets à un organisme spécialisé de stockage et de traitement des déchets.</w:t>
            </w:r>
          </w:p>
          <w:p w:rsidR="008B1C31" w:rsidRPr="00530EF3" w:rsidRDefault="008B1C31" w:rsidP="008B1C31">
            <w:pPr>
              <w:pStyle w:val="TM3"/>
              <w:rPr>
                <w:b w:val="0"/>
                <w:color w:val="auto"/>
                <w:lang w:eastAsia="zh-CN"/>
              </w:rPr>
            </w:pPr>
            <w:r w:rsidRPr="00530EF3">
              <w:rPr>
                <w:b w:val="0"/>
                <w:color w:val="auto"/>
                <w:lang w:eastAsia="zh-CN"/>
              </w:rPr>
              <w:t xml:space="preserve">Il n’est pas envisageable de remorquer l’épave à flot vers un autre lieu pour son démantèlement en raison </w:t>
            </w:r>
            <w:r w:rsidRPr="00530EF3">
              <w:rPr>
                <w:b w:val="0"/>
                <w:color w:val="auto"/>
              </w:rPr>
              <w:t>de l’affaissement structurel quasi-total du navire sous l’effet de la corrosion très avancée de l’épave</w:t>
            </w:r>
            <w:r w:rsidRPr="00530EF3">
              <w:rPr>
                <w:b w:val="0"/>
                <w:color w:val="auto"/>
                <w:lang w:eastAsia="zh-CN"/>
              </w:rPr>
              <w:t>.</w:t>
            </w:r>
          </w:p>
          <w:p w:rsidR="00CE6A00" w:rsidRPr="000415B8" w:rsidRDefault="002D7A33" w:rsidP="00671C25">
            <w:pPr>
              <w:suppressAutoHyphens/>
              <w:spacing w:before="0"/>
              <w:rPr>
                <w:rFonts w:asciiTheme="minorHAnsi" w:eastAsia="Times New Roman" w:hAnsiTheme="minorHAnsi" w:cstheme="minorHAnsi"/>
                <w:color w:val="000000" w:themeColor="text1"/>
                <w:sz w:val="20"/>
                <w:szCs w:val="20"/>
                <w:lang w:eastAsia="zh-CN"/>
              </w:rPr>
            </w:pPr>
            <w:r w:rsidRPr="002D7A33">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p>
          <w:p w:rsidR="00084C4B" w:rsidRPr="000415B8" w:rsidRDefault="00084C4B" w:rsidP="00C971AE">
            <w:pPr>
              <w:pStyle w:val="TM3"/>
              <w:rPr>
                <w:b w:val="0"/>
                <w:color w:val="000000" w:themeColor="text1"/>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3512AC">
        <w:trPr>
          <w:trHeight w:val="2039"/>
        </w:trPr>
        <w:tc>
          <w:tcPr>
            <w:tcW w:w="10420"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bookmarkStart w:id="1" w:name="_GoBack"/>
            <w:bookmarkEnd w:id="1"/>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A68DF" w:rsidRPr="00D11170" w:rsidRDefault="00AA68DF" w:rsidP="00AA68DF">
            <w:pPr>
              <w:pStyle w:val="Paragraphedeliste"/>
              <w:numPr>
                <w:ilvl w:val="0"/>
                <w:numId w:val="11"/>
              </w:numPr>
              <w:ind w:left="851" w:hanging="240"/>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de non allotissement :</w:t>
            </w:r>
          </w:p>
          <w:p w:rsidR="008B1311" w:rsidRPr="008B1311" w:rsidRDefault="00F1046C" w:rsidP="003512AC">
            <w:pPr>
              <w:keepNext/>
              <w:suppressAutoHyphens/>
              <w:spacing w:before="240"/>
              <w:ind w:left="851"/>
              <w:jc w:val="left"/>
              <w:outlineLvl w:val="0"/>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3512AC">
              <w:rPr>
                <w:rFonts w:asciiTheme="minorHAnsi" w:eastAsia="Times New Roman" w:hAnsiTheme="minorHAnsi" w:cs="Times New Roman"/>
                <w:b/>
                <w:bCs/>
                <w:sz w:val="20"/>
                <w:szCs w:val="20"/>
                <w:lang w:eastAsia="zh-CN"/>
              </w:rPr>
            </w:r>
            <w:r w:rsidR="003512AC">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A31050" w:rsidRPr="00A31050">
              <w:rPr>
                <w:rFonts w:asciiTheme="minorHAnsi" w:eastAsia="Times New Roman" w:hAnsiTheme="minorHAnsi" w:cs="Arial"/>
                <w:sz w:val="20"/>
                <w:szCs w:val="20"/>
                <w:lang w:eastAsia="zh-CN"/>
              </w:rPr>
              <w:t xml:space="preserve"> pour l</w:t>
            </w:r>
            <w:r>
              <w:rPr>
                <w:rFonts w:asciiTheme="minorHAnsi" w:eastAsia="Times New Roman" w:hAnsiTheme="minorHAnsi" w:cs="Arial"/>
                <w:sz w:val="20"/>
                <w:szCs w:val="20"/>
                <w:lang w:eastAsia="zh-CN"/>
              </w:rPr>
              <w:t xml:space="preserve">’ensemble du </w:t>
            </w:r>
            <w:r w:rsidR="00A31050" w:rsidRPr="00A31050">
              <w:rPr>
                <w:rFonts w:asciiTheme="minorHAnsi" w:eastAsia="Times New Roman" w:hAnsiTheme="minorHAnsi" w:cs="Arial"/>
                <w:sz w:val="20"/>
                <w:szCs w:val="20"/>
                <w:lang w:eastAsia="zh-CN"/>
              </w:rPr>
              <w:t>march</w:t>
            </w:r>
            <w:r w:rsidR="00142730">
              <w:rPr>
                <w:rFonts w:asciiTheme="minorHAnsi" w:eastAsia="Times New Roman" w:hAnsiTheme="minorHAnsi" w:cs="Arial"/>
                <w:sz w:val="20"/>
                <w:szCs w:val="20"/>
                <w:lang w:eastAsia="zh-CN"/>
              </w:rPr>
              <w:t xml:space="preserve">é public </w:t>
            </w: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3512AC">
              <w:rPr>
                <w:rFonts w:asciiTheme="minorHAnsi" w:eastAsia="Times New Roman" w:hAnsiTheme="minorHAnsi" w:cstheme="minorHAnsi"/>
                <w:sz w:val="20"/>
                <w:szCs w:val="20"/>
                <w:lang w:eastAsia="zh-CN"/>
              </w:rPr>
            </w:r>
            <w:r w:rsidR="003512AC">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3512AC">
              <w:rPr>
                <w:rFonts w:asciiTheme="minorHAnsi" w:eastAsia="Times New Roman" w:hAnsiTheme="minorHAnsi" w:cstheme="minorHAnsi"/>
                <w:sz w:val="20"/>
                <w:szCs w:val="20"/>
                <w:lang w:eastAsia="zh-CN"/>
              </w:rPr>
            </w:r>
            <w:r w:rsidR="003512AC">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D7E88" w:rsidP="00771DFD">
            <w:pPr>
              <w:pStyle w:val="Paragraphedeliste"/>
              <w:contextualSpacing w:val="0"/>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3512AC">
              <w:rPr>
                <w:rFonts w:asciiTheme="minorHAnsi" w:eastAsia="Times New Roman" w:hAnsiTheme="minorHAnsi" w:cstheme="minorHAnsi"/>
                <w:sz w:val="20"/>
                <w:szCs w:val="20"/>
                <w:lang w:eastAsia="zh-CN"/>
              </w:rPr>
            </w:r>
            <w:r w:rsidR="003512AC">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sz w:val="20"/>
                <w:szCs w:val="20"/>
                <w:lang w:eastAsia="zh-CN"/>
              </w:rPr>
              <w:t xml:space="preserve"> </w:t>
            </w:r>
            <w:r w:rsidR="006556F0">
              <w:rPr>
                <w:rFonts w:asciiTheme="minorHAnsi" w:eastAsia="Times New Roman" w:hAnsiTheme="minorHAnsi" w:cstheme="minorHAnsi"/>
                <w:sz w:val="20"/>
                <w:szCs w:val="20"/>
                <w:lang w:eastAsia="zh-CN"/>
              </w:rPr>
              <w:t xml:space="preserve"> OUI</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Pr>
                <w:rFonts w:asciiTheme="minorHAnsi" w:eastAsia="Times New Roman" w:hAnsiTheme="minorHAnsi" w:cstheme="minorHAnsi"/>
                <w:sz w:val="20"/>
                <w:szCs w:val="20"/>
                <w:lang w:eastAsia="zh-CN"/>
              </w:rPr>
              <w:tab/>
              <w:t>OU</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6556F0" w:rsidRPr="00DF74F2">
              <w:rPr>
                <w:rFonts w:asciiTheme="minorHAnsi" w:eastAsia="Times New Roman" w:hAnsiTheme="minorHAnsi" w:cstheme="minorHAnsi"/>
                <w:sz w:val="20"/>
                <w:szCs w:val="20"/>
                <w:lang w:eastAsia="zh-CN"/>
              </w:rPr>
              <w:instrText xml:space="preserve"> FORMCHECKBOX </w:instrText>
            </w:r>
            <w:r w:rsidR="003512AC">
              <w:rPr>
                <w:rFonts w:asciiTheme="minorHAnsi" w:eastAsia="Times New Roman" w:hAnsiTheme="minorHAnsi" w:cstheme="minorHAnsi"/>
                <w:sz w:val="20"/>
                <w:szCs w:val="20"/>
                <w:lang w:eastAsia="zh-CN"/>
              </w:rPr>
            </w:r>
            <w:r w:rsidR="003512AC">
              <w:rPr>
                <w:rFonts w:asciiTheme="minorHAnsi" w:eastAsia="Times New Roman" w:hAnsiTheme="minorHAnsi" w:cstheme="minorHAnsi"/>
                <w:sz w:val="20"/>
                <w:szCs w:val="20"/>
                <w:lang w:eastAsia="zh-CN"/>
              </w:rPr>
              <w:fldChar w:fldCharType="separate"/>
            </w:r>
            <w:r w:rsidR="006556F0" w:rsidRPr="00DF74F2">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iCs/>
                <w:sz w:val="20"/>
                <w:szCs w:val="20"/>
                <w:lang w:eastAsia="zh-CN"/>
              </w:rPr>
              <w:t xml:space="preserve"> </w:t>
            </w:r>
            <w:r w:rsidR="006556F0">
              <w:rPr>
                <w:rFonts w:asciiTheme="minorHAnsi" w:eastAsia="Times New Roman" w:hAnsiTheme="minorHAnsi" w:cstheme="minorHAnsi"/>
                <w:iCs/>
                <w:sz w:val="20"/>
                <w:szCs w:val="20"/>
                <w:lang w:eastAsia="zh-CN"/>
              </w:rPr>
              <w:t xml:space="preserve"> NON</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922810">
              <w:rPr>
                <w:b w:val="0"/>
                <w:bCs/>
                <w:i/>
                <w:sz w:val="20"/>
              </w:rPr>
              <w:t>(</w:t>
            </w:r>
            <w:r w:rsidRPr="00922810">
              <w:rPr>
                <w:b w:val="0"/>
                <w:bCs/>
                <w:i/>
                <w:sz w:val="20"/>
              </w:rPr>
              <w:t xml:space="preserve">en cas de groupement </w:t>
            </w:r>
            <w:r w:rsidRPr="00922810">
              <w:rPr>
                <w:b w:val="0"/>
                <w:bCs/>
                <w:i/>
                <w:sz w:val="20"/>
                <w:u w:val="single"/>
              </w:rPr>
              <w:t>conjoint</w:t>
            </w:r>
            <w:r w:rsidRPr="00922810">
              <w:rPr>
                <w:b w:val="0"/>
                <w:bCs/>
                <w:i/>
                <w:sz w:val="20"/>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3512AC">
              <w:rPr>
                <w:rFonts w:asciiTheme="minorHAnsi" w:eastAsia="Times New Roman" w:hAnsiTheme="minorHAnsi" w:cstheme="minorHAnsi"/>
                <w:bCs/>
                <w:sz w:val="20"/>
                <w:szCs w:val="20"/>
                <w:lang w:eastAsia="fr-FR"/>
              </w:rPr>
            </w:r>
            <w:r w:rsidR="003512AC">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3512AC">
              <w:rPr>
                <w:rFonts w:asciiTheme="minorHAnsi" w:eastAsia="Times New Roman" w:hAnsiTheme="minorHAnsi" w:cstheme="minorHAnsi"/>
                <w:bCs/>
                <w:sz w:val="20"/>
                <w:szCs w:val="20"/>
                <w:lang w:eastAsia="fr-FR"/>
              </w:rPr>
            </w:r>
            <w:r w:rsidR="003512AC">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3512AC">
              <w:rPr>
                <w:rFonts w:asciiTheme="minorHAnsi" w:eastAsia="Times New Roman" w:hAnsiTheme="minorHAnsi" w:cstheme="minorHAnsi"/>
                <w:bCs/>
                <w:sz w:val="20"/>
                <w:szCs w:val="20"/>
                <w:lang w:eastAsia="fr-FR"/>
              </w:rPr>
            </w:r>
            <w:r w:rsidR="003512AC">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3512AC">
              <w:rPr>
                <w:rFonts w:asciiTheme="minorHAnsi" w:eastAsia="Times New Roman" w:hAnsiTheme="minorHAnsi" w:cstheme="minorHAnsi"/>
                <w:bCs/>
                <w:sz w:val="20"/>
                <w:szCs w:val="20"/>
                <w:lang w:eastAsia="fr-FR"/>
              </w:rPr>
            </w:r>
            <w:r w:rsidR="003512AC">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3"/>
            </w:r>
            <w:r>
              <w:t xml:space="preserve"> - </w:t>
            </w:r>
            <w:r w:rsidR="008314A0" w:rsidRPr="008314A0">
              <w:t xml:space="preserve">PRESENTATION DU MEMBRE DU GROUPEMENT N° </w:t>
            </w:r>
            <w:r w:rsidR="008314A0" w:rsidRPr="006D7E88">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C27808" w:rsidRPr="00634F39" w:rsidTr="0084496D">
        <w:tc>
          <w:tcPr>
            <w:tcW w:w="10420" w:type="dxa"/>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G.</w:t>
            </w:r>
            <w:r w:rsidR="00950E4A">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C27808" w:rsidRPr="00634F39" w:rsidTr="00C91681">
        <w:tc>
          <w:tcPr>
            <w:tcW w:w="10420" w:type="dxa"/>
          </w:tcPr>
          <w:p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lastRenderedPageBreak/>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D6578">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3512AC">
              <w:rPr>
                <w:rFonts w:asciiTheme="minorHAnsi" w:hAnsiTheme="minorHAnsi" w:cstheme="minorHAnsi"/>
                <w:b/>
                <w:noProof/>
                <w:sz w:val="20"/>
                <w:szCs w:val="20"/>
                <w:lang w:eastAsia="fr-FR"/>
              </w:rPr>
            </w:r>
            <w:r w:rsidR="003512AC">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3512AC">
              <w:rPr>
                <w:rFonts w:asciiTheme="minorHAnsi" w:hAnsiTheme="minorHAnsi" w:cstheme="minorHAnsi"/>
                <w:b/>
                <w:noProof/>
                <w:sz w:val="20"/>
                <w:szCs w:val="20"/>
                <w:lang w:eastAsia="fr-FR"/>
              </w:rPr>
            </w:r>
            <w:r w:rsidR="003512AC">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3512AC">
              <w:rPr>
                <w:rFonts w:asciiTheme="minorHAnsi" w:hAnsiTheme="minorHAnsi" w:cstheme="minorHAnsi"/>
                <w:noProof/>
                <w:sz w:val="20"/>
                <w:szCs w:val="20"/>
              </w:rPr>
            </w:r>
            <w:r w:rsidR="003512AC">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3512AC">
              <w:rPr>
                <w:rFonts w:asciiTheme="minorHAnsi" w:hAnsiTheme="minorHAnsi" w:cstheme="minorHAnsi"/>
                <w:noProof/>
                <w:sz w:val="20"/>
                <w:szCs w:val="20"/>
              </w:rPr>
            </w:r>
            <w:r w:rsidR="003512AC">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9A38C2" w:rsidRPr="009F382E">
              <w:rPr>
                <w:rFonts w:asciiTheme="minorHAnsi" w:hAnsiTheme="minorHAnsi" w:cstheme="minorHAnsi"/>
                <w:b/>
                <w:noProof/>
              </w:rPr>
              <w:t>5</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9A38C2" w:rsidRPr="009F382E">
              <w:rPr>
                <w:rFonts w:asciiTheme="minorHAnsi" w:hAnsiTheme="minorHAnsi" w:cstheme="minorHAnsi"/>
                <w:b/>
                <w:noProof/>
              </w:rPr>
              <w:t>6</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9A38C2" w:rsidRPr="009F382E">
              <w:rPr>
                <w:rFonts w:asciiTheme="minorHAnsi" w:hAnsiTheme="minorHAnsi" w:cstheme="minorHAnsi"/>
                <w:b/>
                <w:noProof/>
                <w:spacing w:val="-6"/>
              </w:rPr>
              <w:t>7</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6"/>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CDC" w:rsidRDefault="006E4CDC" w:rsidP="002B5FC8">
      <w:pPr>
        <w:spacing w:before="0"/>
      </w:pPr>
      <w:r>
        <w:separator/>
      </w:r>
    </w:p>
  </w:endnote>
  <w:endnote w:type="continuationSeparator" w:id="0">
    <w:p w:rsidR="006E4CDC" w:rsidRDefault="006E4CD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2"/>
      <w:gridCol w:w="1423"/>
      <w:gridCol w:w="6521"/>
      <w:gridCol w:w="1134"/>
      <w:gridCol w:w="639"/>
    </w:tblGrid>
    <w:tr w:rsidR="00BA7C99" w:rsidRPr="00B636BE" w:rsidTr="0014292E">
      <w:trPr>
        <w:trHeight w:val="279"/>
        <w:jc w:val="center"/>
      </w:trPr>
      <w:tc>
        <w:tcPr>
          <w:tcW w:w="56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7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8B1C31" w:rsidP="00A57B3E">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Marché AO</w:t>
          </w:r>
          <w:r w:rsidRPr="008A5D89">
            <w:rPr>
              <w:rFonts w:ascii="Arial Narrow" w:eastAsia="Times New Roman" w:hAnsi="Arial Narrow" w:cstheme="minorHAnsi"/>
              <w:b/>
              <w:i/>
              <w:sz w:val="18"/>
              <w:szCs w:val="18"/>
              <w:lang w:eastAsia="fr-FR"/>
            </w:rPr>
            <w:t xml:space="preserve"> n</w:t>
          </w:r>
          <w:r w:rsidRPr="000B3A2D">
            <w:rPr>
              <w:rFonts w:ascii="Arial Narrow" w:eastAsia="Times New Roman" w:hAnsi="Arial Narrow" w:cstheme="minorHAnsi"/>
              <w:b/>
              <w:i/>
              <w:sz w:val="18"/>
              <w:szCs w:val="18"/>
              <w:lang w:eastAsia="fr-FR"/>
            </w:rPr>
            <w:t xml:space="preserve">° </w:t>
          </w:r>
          <w:r>
            <w:rPr>
              <w:rFonts w:ascii="Arial Narrow" w:eastAsia="Times New Roman" w:hAnsi="Arial Narrow" w:cstheme="minorHAnsi"/>
              <w:b/>
              <w:i/>
              <w:sz w:val="18"/>
              <w:szCs w:val="18"/>
              <w:lang w:eastAsia="fr-FR"/>
            </w:rPr>
            <w:t>MGT</w:t>
          </w:r>
          <w:r w:rsidRPr="000B3A2D">
            <w:rPr>
              <w:rFonts w:ascii="Arial Narrow" w:eastAsia="Times New Roman" w:hAnsi="Arial Narrow" w:cstheme="minorHAnsi"/>
              <w:b/>
              <w:i/>
              <w:sz w:val="18"/>
              <w:szCs w:val="18"/>
              <w:lang w:eastAsia="fr-FR"/>
            </w:rPr>
            <w:t>-</w:t>
          </w:r>
          <w:r w:rsidRPr="003F3314">
            <w:rPr>
              <w:rFonts w:ascii="Arial Narrow" w:eastAsia="Times New Roman" w:hAnsi="Arial Narrow" w:cstheme="minorHAnsi"/>
              <w:b/>
              <w:i/>
              <w:sz w:val="18"/>
              <w:szCs w:val="18"/>
              <w:lang w:eastAsia="fr-FR"/>
            </w:rPr>
            <w:t xml:space="preserve">DPAM-2023-04 : </w:t>
          </w:r>
          <w:bookmarkStart w:id="2" w:name="_Hlk102721890"/>
          <w:r w:rsidRPr="003F3314">
            <w:rPr>
              <w:rFonts w:ascii="Arial Narrow" w:hAnsi="Arial Narrow"/>
              <w:b/>
              <w:i/>
              <w:sz w:val="18"/>
              <w:szCs w:val="18"/>
            </w:rPr>
            <w:t>Dépollution et retrait du navire « TAMARII TUAMOTU » échoué sur l’atoll de Takaroa</w:t>
          </w:r>
          <w:bookmarkEnd w:id="2"/>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14292E">
      <w:trPr>
        <w:trHeight w:val="133"/>
        <w:jc w:val="center"/>
      </w:trPr>
      <w:tc>
        <w:tcPr>
          <w:tcW w:w="56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42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CDC" w:rsidRDefault="006E4CDC" w:rsidP="002B5FC8">
      <w:pPr>
        <w:spacing w:before="0"/>
      </w:pPr>
      <w:r>
        <w:separator/>
      </w:r>
    </w:p>
  </w:footnote>
  <w:footnote w:type="continuationSeparator" w:id="0">
    <w:p w:rsidR="006E4CDC" w:rsidRDefault="006E4CDC"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4"/>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292E"/>
    <w:rsid w:val="00144503"/>
    <w:rsid w:val="00145048"/>
    <w:rsid w:val="00147010"/>
    <w:rsid w:val="00162479"/>
    <w:rsid w:val="001644F3"/>
    <w:rsid w:val="00181CDF"/>
    <w:rsid w:val="00186644"/>
    <w:rsid w:val="0018742E"/>
    <w:rsid w:val="001970EF"/>
    <w:rsid w:val="001A0AAA"/>
    <w:rsid w:val="001A4571"/>
    <w:rsid w:val="001B2E9E"/>
    <w:rsid w:val="001B72DC"/>
    <w:rsid w:val="001C004B"/>
    <w:rsid w:val="001C2113"/>
    <w:rsid w:val="001E3D85"/>
    <w:rsid w:val="001E6A95"/>
    <w:rsid w:val="00200FD4"/>
    <w:rsid w:val="00204D58"/>
    <w:rsid w:val="00206E25"/>
    <w:rsid w:val="00207ACF"/>
    <w:rsid w:val="00210808"/>
    <w:rsid w:val="00210A91"/>
    <w:rsid w:val="002115F8"/>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3AEE"/>
    <w:rsid w:val="002942A0"/>
    <w:rsid w:val="00296150"/>
    <w:rsid w:val="002969CE"/>
    <w:rsid w:val="002A08B5"/>
    <w:rsid w:val="002A4396"/>
    <w:rsid w:val="002B5FC8"/>
    <w:rsid w:val="002C67AF"/>
    <w:rsid w:val="002D02F3"/>
    <w:rsid w:val="002D3CA5"/>
    <w:rsid w:val="002D7A33"/>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12A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6001"/>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D7E88"/>
    <w:rsid w:val="006E3DA7"/>
    <w:rsid w:val="006E442C"/>
    <w:rsid w:val="006E4CD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191"/>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86CDE"/>
    <w:rsid w:val="008A25B4"/>
    <w:rsid w:val="008A4D81"/>
    <w:rsid w:val="008A6403"/>
    <w:rsid w:val="008A6C9A"/>
    <w:rsid w:val="008B0778"/>
    <w:rsid w:val="008B1311"/>
    <w:rsid w:val="008B1C3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2810"/>
    <w:rsid w:val="00926640"/>
    <w:rsid w:val="009275DF"/>
    <w:rsid w:val="00931D12"/>
    <w:rsid w:val="00932C0C"/>
    <w:rsid w:val="00933181"/>
    <w:rsid w:val="009335BF"/>
    <w:rsid w:val="0094056F"/>
    <w:rsid w:val="0094120A"/>
    <w:rsid w:val="00947A03"/>
    <w:rsid w:val="00950E4A"/>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D6578"/>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42A5"/>
    <w:rsid w:val="00C25081"/>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046C"/>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21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51D8-61FE-42D1-99F5-F84289E7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1842</Words>
  <Characters>10135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5</cp:revision>
  <cp:lastPrinted>2018-03-29T21:32:00Z</cp:lastPrinted>
  <dcterms:created xsi:type="dcterms:W3CDTF">2023-06-13T02:03:00Z</dcterms:created>
  <dcterms:modified xsi:type="dcterms:W3CDTF">2023-07-18T00:53:00Z</dcterms:modified>
</cp:coreProperties>
</file>