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r w:rsidRPr="002131A6">
        <w:rPr>
          <w:rFonts w:ascii="Arial Narrow" w:hAnsi="Arial Narrow"/>
          <w:spacing w:val="-2"/>
          <w:sz w:val="16"/>
          <w:szCs w:val="16"/>
        </w:rPr>
        <w:t xml:space="preserve">Le présent formulaire </w:t>
      </w:r>
      <w:r w:rsidR="005809C3" w:rsidRPr="002131A6">
        <w:rPr>
          <w:rFonts w:ascii="Arial Narrow" w:hAnsi="Arial Narrow"/>
          <w:spacing w:val="-2"/>
          <w:sz w:val="16"/>
          <w:szCs w:val="16"/>
        </w:rPr>
        <w:t xml:space="preserve">(disponible sur le site </w:t>
      </w:r>
      <w:proofErr w:type="spellStart"/>
      <w:r w:rsidR="005809C3" w:rsidRPr="002131A6">
        <w:rPr>
          <w:rFonts w:ascii="Arial Narrow" w:hAnsi="Arial Narrow"/>
          <w:smallCaps/>
          <w:spacing w:val="-2"/>
          <w:sz w:val="16"/>
          <w:szCs w:val="16"/>
        </w:rPr>
        <w:t>lexpol</w:t>
      </w:r>
      <w:proofErr w:type="spellEnd"/>
      <w:r w:rsidR="005809C3" w:rsidRPr="002131A6">
        <w:rPr>
          <w:rFonts w:ascii="Arial Narrow" w:hAnsi="Arial Narrow"/>
          <w:spacing w:val="-2"/>
          <w:sz w:val="16"/>
          <w:szCs w:val="16"/>
        </w:rPr>
        <w:t>, espace marchés publics)</w:t>
      </w:r>
      <w:r w:rsidR="00EB0CF5" w:rsidRPr="002131A6">
        <w:rPr>
          <w:rFonts w:ascii="Arial Narrow" w:hAnsi="Arial Narrow"/>
          <w:spacing w:val="-2"/>
          <w:sz w:val="16"/>
          <w:szCs w:val="16"/>
        </w:rPr>
        <w:t xml:space="preserve"> </w:t>
      </w:r>
      <w:r w:rsidRPr="002131A6">
        <w:rPr>
          <w:rFonts w:ascii="Arial Narrow" w:hAnsi="Arial Narrow"/>
          <w:spacing w:val="-2"/>
          <w:sz w:val="16"/>
          <w:szCs w:val="16"/>
        </w:rPr>
        <w:t xml:space="preserve">est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archés publics ou accords</w:t>
      </w:r>
      <w:r w:rsidRPr="002131A6">
        <w:rPr>
          <w:rFonts w:ascii="Arial Narrow" w:hAnsi="Arial Narrow"/>
          <w:spacing w:val="-2"/>
          <w:sz w:val="16"/>
          <w:szCs w:val="16"/>
        </w:rPr>
        <w:noBreakHyphen/>
        <w:t>cadres</w:t>
      </w:r>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C53823" w:rsidRPr="00E56C11" w:rsidRDefault="006F264F" w:rsidP="00E56C11">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r w:rsidR="00A00496"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375191" w:rsidRPr="0065318E" w:rsidRDefault="00DF6DE4" w:rsidP="006766A6">
            <w:pPr>
              <w:suppressAutoHyphens/>
              <w:spacing w:before="20" w:after="120"/>
              <w:ind w:left="-142"/>
              <w:rPr>
                <w:rFonts w:eastAsia="Times New Roman" w:cs="Times New Roman"/>
                <w:bCs/>
                <w:i/>
                <w:iCs/>
                <w:sz w:val="14"/>
                <w:szCs w:val="20"/>
                <w:lang w:eastAsia="zh-CN"/>
              </w:rPr>
            </w:pPr>
            <w:r w:rsidRPr="0065318E">
              <w:rPr>
                <w:rFonts w:eastAsia="Times New Roman" w:cs="Times New Roman"/>
                <w:bCs/>
                <w:i/>
                <w:iCs/>
                <w:sz w:val="16"/>
                <w:szCs w:val="20"/>
                <w:lang w:eastAsia="zh-CN"/>
              </w:rPr>
              <w:t xml:space="preserve"> </w:t>
            </w:r>
            <w:r w:rsidR="00A31050" w:rsidRPr="0065318E">
              <w:rPr>
                <w:rFonts w:eastAsia="Times New Roman" w:cs="Times New Roman"/>
                <w:bCs/>
                <w:i/>
                <w:iCs/>
                <w:sz w:val="14"/>
                <w:szCs w:val="20"/>
                <w:lang w:eastAsia="zh-CN"/>
              </w:rPr>
              <w:t>(</w:t>
            </w:r>
            <w:r w:rsidR="00375191" w:rsidRPr="0065318E">
              <w:rPr>
                <w:rFonts w:eastAsia="Times New Roman" w:cs="Times New Roman"/>
                <w:b/>
                <w:bCs/>
                <w:i/>
                <w:iCs/>
                <w:sz w:val="14"/>
                <w:szCs w:val="20"/>
                <w:lang w:eastAsia="zh-CN"/>
              </w:rPr>
              <w:t>Reprendre</w:t>
            </w:r>
            <w:r w:rsidR="00375191" w:rsidRPr="0065318E">
              <w:rPr>
                <w:rFonts w:eastAsia="Times New Roman" w:cs="Times New Roman"/>
                <w:bCs/>
                <w:i/>
                <w:iCs/>
                <w:sz w:val="14"/>
                <w:szCs w:val="20"/>
                <w:lang w:eastAsia="zh-CN"/>
              </w:rPr>
              <w:t xml:space="preserve"> le contenu de la mention figurant dans l’avis d’appel public à la concurrence ou la lettre de consultation.)</w:t>
            </w:r>
          </w:p>
          <w:p w:rsidR="00E56C11" w:rsidRPr="0065318E" w:rsidRDefault="00EF5934" w:rsidP="00E56C11">
            <w:pPr>
              <w:spacing w:before="0"/>
              <w:jc w:val="left"/>
              <w:rPr>
                <w:rFonts w:eastAsia="Times New Roman" w:cs="Times New Roman"/>
                <w:lang w:eastAsia="fr-FR"/>
              </w:rPr>
            </w:pPr>
            <w:r w:rsidRPr="0065318E">
              <w:rPr>
                <w:rFonts w:cs="Times New Roman"/>
              </w:rPr>
              <w:t>Direction Polynésienne des Affaires Maritimes, représentée par sa Directrice, Madame Catherine ROCHETEAU</w:t>
            </w:r>
            <w:r w:rsidRPr="0065318E">
              <w:rPr>
                <w:rFonts w:eastAsia="Times New Roman" w:cs="Times New Roman"/>
                <w:lang w:eastAsia="fr-FR"/>
              </w:rPr>
              <w:t xml:space="preserve"> </w:t>
            </w:r>
            <w:r w:rsidR="00E56C11" w:rsidRPr="0065318E">
              <w:rPr>
                <w:rFonts w:eastAsia="Times New Roman" w:cs="Times New Roman"/>
                <w:lang w:eastAsia="fr-FR"/>
              </w:rPr>
              <w:t xml:space="preserve">Adresse postale : B.P. </w:t>
            </w:r>
            <w:proofErr w:type="gramStart"/>
            <w:r w:rsidR="00E56C11" w:rsidRPr="0065318E">
              <w:rPr>
                <w:rFonts w:eastAsia="Times New Roman" w:cs="Times New Roman"/>
                <w:lang w:eastAsia="fr-FR"/>
              </w:rPr>
              <w:t>2551  -</w:t>
            </w:r>
            <w:proofErr w:type="gramEnd"/>
            <w:r w:rsidR="00E56C11" w:rsidRPr="0065318E">
              <w:rPr>
                <w:rFonts w:eastAsia="Times New Roman" w:cs="Times New Roman"/>
                <w:lang w:eastAsia="fr-FR"/>
              </w:rPr>
              <w:t xml:space="preserve">  98713 PAPEETE  - TAHITI  - Polynésie française</w:t>
            </w:r>
          </w:p>
          <w:p w:rsidR="0065318E" w:rsidRPr="0065318E" w:rsidRDefault="0065318E" w:rsidP="0065318E">
            <w:pPr>
              <w:autoSpaceDE w:val="0"/>
              <w:autoSpaceDN w:val="0"/>
              <w:adjustRightInd w:val="0"/>
              <w:spacing w:before="0"/>
              <w:rPr>
                <w:rFonts w:cs="Times New Roman"/>
                <w:color w:val="000000" w:themeColor="text1"/>
              </w:rPr>
            </w:pPr>
            <w:r w:rsidRPr="0065318E">
              <w:rPr>
                <w:rFonts w:cs="Times New Roman"/>
                <w:color w:val="000000" w:themeColor="text1"/>
              </w:rPr>
              <w:t>Immeuble SAT NUI, N°12, voie M, Fare Ute, Papeete</w:t>
            </w:r>
          </w:p>
          <w:p w:rsidR="0065318E" w:rsidRPr="0065318E" w:rsidRDefault="0065318E" w:rsidP="0065318E">
            <w:pPr>
              <w:autoSpaceDE w:val="0"/>
              <w:autoSpaceDN w:val="0"/>
              <w:adjustRightInd w:val="0"/>
              <w:spacing w:before="0"/>
              <w:rPr>
                <w:rFonts w:cs="Times New Roman"/>
                <w:color w:val="000000" w:themeColor="text1"/>
                <w:lang w:val="en-US"/>
              </w:rPr>
            </w:pPr>
            <w:r w:rsidRPr="0065318E">
              <w:rPr>
                <w:rFonts w:cs="Times New Roman"/>
                <w:color w:val="000000" w:themeColor="text1"/>
                <w:lang w:val="en-US"/>
              </w:rPr>
              <w:t xml:space="preserve">BP.9005 – 98716 – </w:t>
            </w:r>
            <w:proofErr w:type="spellStart"/>
            <w:r w:rsidRPr="0065318E">
              <w:rPr>
                <w:rFonts w:cs="Times New Roman"/>
                <w:color w:val="000000" w:themeColor="text1"/>
                <w:lang w:val="en-US"/>
              </w:rPr>
              <w:t>Pirae</w:t>
            </w:r>
            <w:proofErr w:type="spellEnd"/>
          </w:p>
          <w:p w:rsidR="00E654CD" w:rsidRPr="0065318E" w:rsidRDefault="00E56C11" w:rsidP="0065318E">
            <w:pPr>
              <w:pStyle w:val="TM3"/>
              <w:jc w:val="left"/>
              <w:rPr>
                <w:rFonts w:ascii="Times New Roman" w:hAnsi="Times New Roman" w:cs="Times New Roman"/>
                <w:lang w:eastAsia="zh-CN"/>
              </w:rPr>
            </w:pPr>
            <w:r w:rsidRPr="0065318E">
              <w:rPr>
                <w:rFonts w:ascii="Times New Roman" w:eastAsia="Times New Roman" w:hAnsi="Times New Roman" w:cs="Times New Roman"/>
                <w:b w:val="0"/>
                <w:noProof w:val="0"/>
                <w:sz w:val="22"/>
                <w:szCs w:val="22"/>
                <w:lang w:eastAsia="fr-FR"/>
              </w:rPr>
              <w:t xml:space="preserve">Téléphone : (689) 40 </w:t>
            </w:r>
            <w:r w:rsidR="0065318E">
              <w:rPr>
                <w:rFonts w:ascii="Times New Roman" w:eastAsia="Times New Roman" w:hAnsi="Times New Roman" w:cs="Times New Roman"/>
                <w:b w:val="0"/>
                <w:noProof w:val="0"/>
                <w:sz w:val="22"/>
                <w:szCs w:val="22"/>
                <w:lang w:eastAsia="fr-FR"/>
              </w:rPr>
              <w:t>54</w:t>
            </w:r>
            <w:r w:rsidRPr="0065318E">
              <w:rPr>
                <w:rFonts w:ascii="Times New Roman" w:eastAsia="Times New Roman" w:hAnsi="Times New Roman" w:cs="Times New Roman"/>
                <w:b w:val="0"/>
                <w:noProof w:val="0"/>
                <w:sz w:val="22"/>
                <w:szCs w:val="22"/>
                <w:lang w:eastAsia="fr-FR"/>
              </w:rPr>
              <w:t xml:space="preserve"> </w:t>
            </w:r>
            <w:r w:rsidR="0065318E">
              <w:rPr>
                <w:rFonts w:ascii="Times New Roman" w:eastAsia="Times New Roman" w:hAnsi="Times New Roman" w:cs="Times New Roman"/>
                <w:b w:val="0"/>
                <w:noProof w:val="0"/>
                <w:sz w:val="22"/>
                <w:szCs w:val="22"/>
                <w:lang w:eastAsia="fr-FR"/>
              </w:rPr>
              <w:t>45</w:t>
            </w:r>
            <w:r w:rsidRPr="0065318E">
              <w:rPr>
                <w:rFonts w:ascii="Times New Roman" w:eastAsia="Times New Roman" w:hAnsi="Times New Roman" w:cs="Times New Roman"/>
                <w:b w:val="0"/>
                <w:noProof w:val="0"/>
                <w:sz w:val="22"/>
                <w:szCs w:val="22"/>
                <w:lang w:eastAsia="fr-FR"/>
              </w:rPr>
              <w:t xml:space="preserve"> </w:t>
            </w:r>
            <w:r w:rsidR="0065318E">
              <w:rPr>
                <w:rFonts w:ascii="Times New Roman" w:eastAsia="Times New Roman" w:hAnsi="Times New Roman" w:cs="Times New Roman"/>
                <w:b w:val="0"/>
                <w:noProof w:val="0"/>
                <w:sz w:val="22"/>
                <w:szCs w:val="22"/>
                <w:lang w:eastAsia="fr-FR"/>
              </w:rPr>
              <w:t>0</w:t>
            </w:r>
            <w:r w:rsidRPr="0065318E">
              <w:rPr>
                <w:rFonts w:ascii="Times New Roman" w:eastAsia="Times New Roman" w:hAnsi="Times New Roman" w:cs="Times New Roman"/>
                <w:b w:val="0"/>
                <w:noProof w:val="0"/>
                <w:sz w:val="22"/>
                <w:szCs w:val="22"/>
                <w:lang w:eastAsia="fr-FR"/>
              </w:rPr>
              <w:t>0</w:t>
            </w:r>
            <w:r w:rsidRPr="0065318E">
              <w:rPr>
                <w:rFonts w:ascii="Times New Roman" w:eastAsia="Times New Roman" w:hAnsi="Times New Roman" w:cs="Times New Roman"/>
                <w:b w:val="0"/>
                <w:noProof w:val="0"/>
                <w:sz w:val="22"/>
                <w:szCs w:val="22"/>
                <w:lang w:eastAsia="fr-FR"/>
              </w:rPr>
              <w:br/>
              <w:t xml:space="preserve">Fax : (689) 40 </w:t>
            </w:r>
            <w:r w:rsidR="0065318E">
              <w:rPr>
                <w:rFonts w:ascii="Times New Roman" w:eastAsia="Times New Roman" w:hAnsi="Times New Roman" w:cs="Times New Roman"/>
                <w:b w:val="0"/>
                <w:noProof w:val="0"/>
                <w:sz w:val="22"/>
                <w:szCs w:val="22"/>
                <w:lang w:eastAsia="fr-FR"/>
              </w:rPr>
              <w:t>54 45 04</w:t>
            </w:r>
            <w:r w:rsidRPr="0065318E">
              <w:rPr>
                <w:rFonts w:ascii="Times New Roman" w:eastAsia="Times New Roman" w:hAnsi="Times New Roman" w:cs="Times New Roman"/>
                <w:b w:val="0"/>
                <w:noProof w:val="0"/>
                <w:sz w:val="22"/>
                <w:szCs w:val="22"/>
                <w:lang w:eastAsia="fr-FR"/>
              </w:rPr>
              <w:br/>
              <w:t xml:space="preserve">Courriel : </w:t>
            </w:r>
            <w:hyperlink r:id="rId9" w:history="1">
              <w:r w:rsidR="0065318E" w:rsidRPr="0092184E">
                <w:rPr>
                  <w:rStyle w:val="Lienhypertexte"/>
                  <w:rFonts w:ascii="Times New Roman" w:hAnsi="Times New Roman" w:cs="Times New Roman"/>
                  <w:b w:val="0"/>
                  <w:sz w:val="22"/>
                  <w:szCs w:val="22"/>
                </w:rPr>
                <w:t>accueil.dpam@administration</w:t>
              </w:r>
              <w:r w:rsidR="0065318E" w:rsidRPr="0092184E">
                <w:rPr>
                  <w:rStyle w:val="Lienhypertexte"/>
                  <w:rFonts w:ascii="Times New Roman" w:eastAsia="Times New Roman" w:hAnsi="Times New Roman" w:cs="Times New Roman"/>
                  <w:b w:val="0"/>
                  <w:noProof w:val="0"/>
                  <w:sz w:val="22"/>
                  <w:szCs w:val="22"/>
                  <w:lang w:eastAsia="fr-FR"/>
                </w:rPr>
                <w:t>.gov.pf</w:t>
              </w:r>
            </w:hyperlink>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0B1DAA">
        <w:tc>
          <w:tcPr>
            <w:tcW w:w="10194"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0B1DAA">
        <w:tc>
          <w:tcPr>
            <w:tcW w:w="10194" w:type="dxa"/>
          </w:tcPr>
          <w:p w:rsidR="00084C4B" w:rsidRDefault="00084C4B" w:rsidP="002B3BAB">
            <w:pPr>
              <w:suppressAutoHyphens/>
              <w:spacing w:before="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65318E" w:rsidRPr="002B3BAB" w:rsidRDefault="0065318E" w:rsidP="002B3BAB">
            <w:pPr>
              <w:pStyle w:val="-LettrePJGEDA"/>
              <w:numPr>
                <w:ilvl w:val="0"/>
                <w:numId w:val="0"/>
              </w:numPr>
              <w:tabs>
                <w:tab w:val="left" w:pos="709"/>
              </w:tabs>
              <w:spacing w:before="0"/>
              <w:ind w:firstLine="22"/>
              <w:rPr>
                <w:bCs/>
                <w:sz w:val="22"/>
                <w:szCs w:val="22"/>
              </w:rPr>
            </w:pPr>
            <w:r w:rsidRPr="002B3BAB">
              <w:rPr>
                <w:noProof w:val="0"/>
                <w:sz w:val="22"/>
                <w:szCs w:val="22"/>
              </w:rPr>
              <w:t xml:space="preserve">Consultation </w:t>
            </w:r>
            <w:r w:rsidRPr="002B3BAB">
              <w:rPr>
                <w:noProof w:val="0"/>
                <w:sz w:val="22"/>
                <w:szCs w:val="22"/>
              </w:rPr>
              <w:t>n° 2023-05-MGT-DPAM</w:t>
            </w:r>
            <w:r w:rsidRPr="002B3BAB">
              <w:rPr>
                <w:noProof w:val="0"/>
                <w:sz w:val="22"/>
                <w:szCs w:val="22"/>
              </w:rPr>
              <w:t xml:space="preserve"> : </w:t>
            </w:r>
            <w:r w:rsidRPr="002B3BAB">
              <w:rPr>
                <w:bCs/>
                <w:sz w:val="22"/>
                <w:szCs w:val="22"/>
              </w:rPr>
              <w:t>Réalisation d’un ensemble d’études des fonds marins et des besoins techniques pour l’implantation d’ancrages écologiques dans les eaux intérieures des îles de Raiatea et Taha’a</w:t>
            </w:r>
            <w:r w:rsidR="002B3BAB" w:rsidRPr="002B3BAB">
              <w:rPr>
                <w:bCs/>
                <w:sz w:val="22"/>
                <w:szCs w:val="22"/>
              </w:rPr>
              <w:t xml:space="preserve"> : </w:t>
            </w:r>
          </w:p>
          <w:p w:rsidR="002B3BAB" w:rsidRPr="002B3BAB" w:rsidRDefault="0065318E" w:rsidP="002B3BAB">
            <w:pPr>
              <w:pStyle w:val="-LettreSuiteORefPJGEDA"/>
              <w:numPr>
                <w:ilvl w:val="0"/>
                <w:numId w:val="30"/>
              </w:numPr>
              <w:rPr>
                <w:sz w:val="22"/>
                <w:szCs w:val="22"/>
              </w:rPr>
            </w:pPr>
            <w:r w:rsidRPr="002B3BAB">
              <w:rPr>
                <w:rFonts w:cs="Calibri"/>
                <w:sz w:val="22"/>
                <w:szCs w:val="22"/>
              </w:rPr>
              <w:t xml:space="preserve">Etude technique pour la détermination des emplacements les plus appropriés pour la pose des dispositifs d’ancrage dans </w:t>
            </w:r>
            <w:r w:rsidR="002B3BAB" w:rsidRPr="002B3BAB">
              <w:rPr>
                <w:rFonts w:cs="Calibri"/>
                <w:sz w:val="22"/>
                <w:szCs w:val="22"/>
              </w:rPr>
              <w:t>d</w:t>
            </w:r>
            <w:r w:rsidRPr="002B3BAB">
              <w:rPr>
                <w:rFonts w:cs="Calibri"/>
                <w:sz w:val="22"/>
                <w:szCs w:val="22"/>
              </w:rPr>
              <w:t>es zones de mouillage</w:t>
            </w:r>
            <w:r w:rsidR="002B3BAB" w:rsidRPr="002B3BAB">
              <w:rPr>
                <w:rFonts w:cs="Calibri"/>
                <w:sz w:val="22"/>
                <w:szCs w:val="22"/>
              </w:rPr>
              <w:t xml:space="preserve"> dans les eaux intérieures des îles de Raiatea et Taha’a ;</w:t>
            </w:r>
          </w:p>
          <w:p w:rsidR="0065318E" w:rsidRPr="002B3BAB" w:rsidRDefault="0065318E" w:rsidP="002B3BAB">
            <w:pPr>
              <w:pStyle w:val="-LettreSuiteORefPJGEDA"/>
              <w:numPr>
                <w:ilvl w:val="0"/>
                <w:numId w:val="30"/>
              </w:numPr>
              <w:rPr>
                <w:sz w:val="22"/>
                <w:szCs w:val="22"/>
              </w:rPr>
            </w:pPr>
            <w:r w:rsidRPr="002B3BAB">
              <w:rPr>
                <w:rFonts w:cs="Calibri"/>
                <w:sz w:val="22"/>
                <w:szCs w:val="22"/>
              </w:rPr>
              <w:t xml:space="preserve">Détermination des méthodes de fixation et de pose </w:t>
            </w:r>
            <w:r w:rsidR="002B3BAB" w:rsidRPr="002B3BAB">
              <w:rPr>
                <w:rFonts w:cs="Calibri"/>
                <w:sz w:val="22"/>
                <w:szCs w:val="22"/>
              </w:rPr>
              <w:t>des</w:t>
            </w:r>
            <w:r w:rsidRPr="002B3BAB">
              <w:rPr>
                <w:rFonts w:cs="Calibri"/>
                <w:sz w:val="22"/>
                <w:szCs w:val="22"/>
              </w:rPr>
              <w:t xml:space="preserve"> dispositifs d’ancrage les plus adaptées. </w:t>
            </w:r>
          </w:p>
          <w:p w:rsidR="0065318E" w:rsidRPr="000B1DAA" w:rsidRDefault="002B3BAB" w:rsidP="000B1DAA">
            <w:pPr>
              <w:spacing w:before="0"/>
              <w:rPr>
                <w:rFonts w:cs="Calibri"/>
              </w:rPr>
            </w:pPr>
            <w:r w:rsidRPr="002B3BAB">
              <w:rPr>
                <w:rFonts w:cs="Calibri"/>
              </w:rPr>
              <w:t xml:space="preserve">Réalisation d’une étude d’avant-projet de dimensionnement des installations </w:t>
            </w:r>
            <w:r>
              <w:rPr>
                <w:rFonts w:cs="Calibri"/>
              </w:rPr>
              <w:t xml:space="preserve">d’ancrage </w:t>
            </w:r>
            <w:r w:rsidRPr="002B3BAB">
              <w:rPr>
                <w:rFonts w:cs="Calibri"/>
              </w:rPr>
              <w:t>sur chaque zone de mouillage</w:t>
            </w:r>
            <w:r>
              <w:rPr>
                <w:rFonts w:cs="Calibri"/>
              </w:rPr>
              <w:t>,</w:t>
            </w:r>
            <w:r w:rsidRPr="002B3BAB">
              <w:rPr>
                <w:rFonts w:cs="Calibri"/>
              </w:rPr>
              <w:t xml:space="preserve"> réalisée de façon stricte et précise avec la réalisation d’étude de sol et sous-sol, de relevés bathymétriques et la prise en compte des données environnementales (marée, courants, vents …).</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563E89" w:rsidRDefault="00563E89" w:rsidP="00563E89">
      <w:pPr>
        <w:spacing w:before="0"/>
        <w:rPr>
          <w:rFonts w:asciiTheme="minorHAnsi" w:hAnsiTheme="minorHAnsi"/>
          <w:sz w:val="14"/>
        </w:rPr>
      </w:pPr>
    </w:p>
    <w:p w:rsidR="0076713D" w:rsidRDefault="0076713D" w:rsidP="00563E89">
      <w:pPr>
        <w:spacing w:before="0"/>
        <w:rPr>
          <w:rFonts w:asciiTheme="minorHAnsi" w:hAnsiTheme="minorHAnsi"/>
          <w:sz w:val="14"/>
        </w:rPr>
      </w:pPr>
    </w:p>
    <w:p w:rsidR="004F71EF" w:rsidRDefault="004F71EF" w:rsidP="004F71EF">
      <w:pPr>
        <w:pStyle w:val="Corpsdetexte3"/>
        <w:tabs>
          <w:tab w:val="clear" w:pos="576"/>
        </w:tabs>
        <w:suppressAutoHyphens w:val="0"/>
        <w:spacing w:before="0"/>
        <w:ind w:right="281"/>
        <w:rPr>
          <w:rFonts w:asciiTheme="minorHAnsi" w:eastAsiaTheme="minorHAnsi" w:hAnsiTheme="minorHAnsi" w:cstheme="minorHAnsi"/>
          <w:b/>
          <w:highlight w:val="yellow"/>
          <w:u w:val="single"/>
        </w:rPr>
      </w:pPr>
    </w:p>
    <w:p w:rsidR="004F71EF" w:rsidRDefault="004F71EF" w:rsidP="003C6BD6">
      <w:pPr>
        <w:pStyle w:val="Corpsdetexte3"/>
        <w:tabs>
          <w:tab w:val="clear" w:pos="576"/>
        </w:tabs>
        <w:suppressAutoHyphens w:val="0"/>
        <w:spacing w:before="0"/>
        <w:ind w:left="284" w:right="281"/>
        <w:rPr>
          <w:rFonts w:asciiTheme="minorHAnsi" w:eastAsiaTheme="minorHAnsi" w:hAnsiTheme="minorHAnsi" w:cstheme="minorHAnsi"/>
          <w:b/>
          <w:highlight w:val="yellow"/>
          <w:u w:val="single"/>
        </w:rPr>
      </w:pPr>
    </w:p>
    <w:p w:rsidR="00643CA2" w:rsidRPr="004F71EF" w:rsidRDefault="0076713D" w:rsidP="004F71EF">
      <w:pPr>
        <w:pStyle w:val="Corpsdetexte3"/>
        <w:tabs>
          <w:tab w:val="clear" w:pos="576"/>
        </w:tabs>
        <w:suppressAutoHyphens w:val="0"/>
        <w:spacing w:before="0"/>
        <w:ind w:left="284" w:right="281"/>
        <w:rPr>
          <w:rFonts w:asciiTheme="minorHAnsi" w:eastAsiaTheme="minorHAnsi" w:hAnsiTheme="minorHAnsi" w:cstheme="minorHAnsi"/>
        </w:rPr>
      </w:pPr>
      <w:r w:rsidRPr="004F71EF">
        <w:rPr>
          <w:rFonts w:asciiTheme="minorHAnsi" w:eastAsiaTheme="minorHAnsi" w:hAnsiTheme="minorHAnsi" w:cstheme="minorHAnsi"/>
          <w:b/>
          <w:u w:val="single"/>
        </w:rPr>
        <w:t xml:space="preserve">Conformément aux termes </w:t>
      </w:r>
      <w:r w:rsidR="000B1DAA">
        <w:rPr>
          <w:rFonts w:asciiTheme="minorHAnsi" w:eastAsiaTheme="minorHAnsi" w:hAnsiTheme="minorHAnsi" w:cstheme="minorHAnsi"/>
          <w:b/>
          <w:u w:val="single"/>
        </w:rPr>
        <w:t>de la consultation</w:t>
      </w:r>
      <w:r w:rsidR="005361BC" w:rsidRPr="005361BC">
        <w:rPr>
          <w:rFonts w:asciiTheme="minorHAnsi" w:eastAsiaTheme="minorHAnsi" w:hAnsiTheme="minorHAnsi" w:cstheme="minorHAnsi"/>
        </w:rPr>
        <w:t xml:space="preserve"> </w:t>
      </w:r>
      <w:r w:rsidR="005361BC" w:rsidRPr="005361BC">
        <w:rPr>
          <w:rFonts w:ascii="Arial Narrow" w:eastAsiaTheme="minorHAnsi" w:hAnsi="Arial Narrow" w:cstheme="minorHAnsi"/>
          <w:b/>
          <w:i/>
          <w:color w:val="FF0000"/>
        </w:rPr>
        <w:t>(*</w:t>
      </w:r>
      <w:r w:rsidR="004D1225" w:rsidRPr="005361BC">
        <w:rPr>
          <w:rFonts w:ascii="Arial Narrow" w:eastAsiaTheme="minorHAnsi" w:hAnsi="Arial Narrow" w:cstheme="minorHAnsi"/>
          <w:b/>
          <w:i/>
          <w:color w:val="FF0000"/>
        </w:rPr>
        <w:t>)</w:t>
      </w:r>
      <w:r w:rsidRPr="00150C09">
        <w:rPr>
          <w:rFonts w:asciiTheme="minorHAnsi" w:eastAsiaTheme="minorHAnsi" w:hAnsiTheme="minorHAnsi" w:cstheme="minorHAnsi"/>
        </w:rPr>
        <w:t xml:space="preserve"> relatives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r w:rsidR="00643CA2">
        <w:rPr>
          <w:rFonts w:asciiTheme="minorHAnsi" w:hAnsiTheme="minorHAnsi"/>
          <w:sz w:val="14"/>
        </w:rPr>
        <w:br w:type="page"/>
      </w:r>
    </w:p>
    <w:tbl>
      <w:tblPr>
        <w:tblStyle w:val="Grilledutableau"/>
        <w:tblW w:w="0" w:type="auto"/>
        <w:tblLook w:val="04A0" w:firstRow="1" w:lastRow="0" w:firstColumn="1" w:lastColumn="0" w:noHBand="0" w:noVBand="1"/>
      </w:tblPr>
      <w:tblGrid>
        <w:gridCol w:w="10194"/>
      </w:tblGrid>
      <w:tr w:rsidR="005C450F" w:rsidRPr="00634F39" w:rsidTr="009819DD">
        <w:tc>
          <w:tcPr>
            <w:tcW w:w="10420"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3"/>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C7F1D">
        <w:tc>
          <w:tcPr>
            <w:tcW w:w="10420" w:type="dxa"/>
          </w:tcPr>
          <w:p w:rsidR="00955C8D" w:rsidRDefault="003E76E7" w:rsidP="00F56333">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55C8D" w:rsidRPr="0030067D">
              <w:rPr>
                <w:rFonts w:ascii="Arial Black" w:hAnsi="Arial Black" w:cstheme="minorHAnsi"/>
                <w:b/>
                <w:color w:val="990033"/>
                <w:sz w:val="18"/>
                <w:bdr w:val="single" w:sz="4" w:space="0" w:color="990033"/>
              </w:rPr>
              <w:t xml:space="preserve">.1 – </w:t>
            </w:r>
            <w:r w:rsidR="001E4ADE">
              <w:rPr>
                <w:rFonts w:ascii="Arial Black" w:hAnsi="Arial Black" w:cstheme="minorHAnsi"/>
                <w:b/>
                <w:color w:val="990033"/>
                <w:sz w:val="18"/>
                <w:bdr w:val="single" w:sz="4" w:space="0" w:color="990033"/>
              </w:rPr>
              <w:t>Chiffre d’affaires global</w:t>
            </w:r>
            <w:r w:rsidR="00955C8D" w:rsidRPr="0030067D">
              <w:rPr>
                <w:rFonts w:ascii="Arial Black" w:hAnsi="Arial Black" w:cstheme="minorHAnsi"/>
                <w:b/>
                <w:color w:val="990033"/>
                <w:sz w:val="18"/>
                <w:bdr w:val="single" w:sz="4" w:space="0" w:color="990033"/>
              </w:rPr>
              <w:t> :</w:t>
            </w:r>
            <w:r w:rsidR="00955C8D" w:rsidRPr="0030067D">
              <w:rPr>
                <w:rFonts w:ascii="Arial Black" w:hAnsi="Arial Black" w:cstheme="minorHAnsi"/>
                <w:b/>
                <w:color w:val="990033"/>
                <w:sz w:val="18"/>
              </w:rPr>
              <w:t xml:space="preserve"> </w:t>
            </w:r>
          </w:p>
          <w:p w:rsidR="00331731" w:rsidRPr="00BB5EB0"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sidR="004F71EF">
              <w:rPr>
                <w:rFonts w:asciiTheme="minorHAnsi" w:eastAsia="Times New Roman" w:hAnsiTheme="minorHAnsi" w:cstheme="minorHAnsi"/>
                <w:b/>
                <w:sz w:val="20"/>
                <w:szCs w:val="20"/>
                <w:u w:val="single"/>
                <w:lang w:eastAsia="zh-CN"/>
              </w:rPr>
              <w:t xml:space="preserve"> </w:t>
            </w:r>
            <w:r w:rsidR="00823F73">
              <w:rPr>
                <w:rFonts w:asciiTheme="minorHAnsi" w:eastAsia="Times New Roman" w:hAnsiTheme="minorHAnsi" w:cstheme="minorHAnsi"/>
                <w:b/>
                <w:sz w:val="20"/>
                <w:szCs w:val="20"/>
                <w:lang w:eastAsia="zh-CN"/>
              </w:rPr>
              <w:t xml:space="preserve">sur les </w:t>
            </w:r>
            <w:r w:rsidR="00823F73" w:rsidRPr="000F67FD">
              <w:rPr>
                <w:rFonts w:asciiTheme="minorHAnsi" w:eastAsia="Times New Roman" w:hAnsiTheme="minorHAnsi" w:cstheme="minorHAnsi"/>
                <w:b/>
                <w:i/>
                <w:sz w:val="20"/>
                <w:szCs w:val="20"/>
                <w:lang w:eastAsia="zh-CN"/>
              </w:rPr>
              <w:t>trois</w:t>
            </w:r>
            <w:r w:rsidR="00823F73">
              <w:rPr>
                <w:rFonts w:asciiTheme="minorHAnsi" w:eastAsia="Times New Roman" w:hAnsiTheme="minorHAnsi" w:cstheme="minorHAnsi"/>
                <w:b/>
                <w:sz w:val="20"/>
                <w:szCs w:val="20"/>
                <w:lang w:eastAsia="zh-CN"/>
              </w:rPr>
              <w:t xml:space="preserve"> derniers exercices disponibles</w:t>
            </w:r>
            <w:r>
              <w:rPr>
                <w:rFonts w:asciiTheme="minorHAnsi" w:eastAsia="Times New Roman" w:hAnsiTheme="minorHAnsi" w:cstheme="minorHAnsi"/>
                <w:b/>
                <w:sz w:val="20"/>
                <w:szCs w:val="20"/>
                <w:lang w:eastAsia="zh-CN"/>
              </w:rPr>
              <w:t> :</w:t>
            </w:r>
          </w:p>
          <w:tbl>
            <w:tblPr>
              <w:tblStyle w:val="Grilledutableau"/>
              <w:tblW w:w="0" w:type="auto"/>
              <w:tblLook w:val="04A0" w:firstRow="1" w:lastRow="0" w:firstColumn="1" w:lastColumn="0" w:noHBand="0" w:noVBand="1"/>
            </w:tblPr>
            <w:tblGrid>
              <w:gridCol w:w="2087"/>
              <w:gridCol w:w="2627"/>
              <w:gridCol w:w="2627"/>
              <w:gridCol w:w="2627"/>
            </w:tblGrid>
            <w:tr w:rsidR="00E02A2F" w:rsidTr="004F71EF">
              <w:trPr>
                <w:trHeight w:val="397"/>
              </w:trPr>
              <w:tc>
                <w:tcPr>
                  <w:tcW w:w="2122" w:type="dxa"/>
                  <w:tcBorders>
                    <w:top w:val="single" w:sz="4" w:space="0" w:color="auto"/>
                    <w:left w:val="single" w:sz="4" w:space="0" w:color="auto"/>
                  </w:tcBorders>
                  <w:shd w:val="clear" w:color="auto" w:fill="auto"/>
                  <w:vAlign w:val="center"/>
                </w:tcPr>
                <w:p w:rsidR="00E02A2F" w:rsidRPr="004F71EF" w:rsidRDefault="00A678D9" w:rsidP="00A678D9">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rsidR="00627741"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2020</w:t>
                  </w:r>
                </w:p>
              </w:tc>
              <w:tc>
                <w:tcPr>
                  <w:tcW w:w="2689" w:type="dxa"/>
                  <w:shd w:val="clear" w:color="auto" w:fill="auto"/>
                  <w:vAlign w:val="center"/>
                </w:tcPr>
                <w:p w:rsidR="00E02A2F"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2021</w:t>
                  </w:r>
                </w:p>
              </w:tc>
              <w:tc>
                <w:tcPr>
                  <w:tcW w:w="2689" w:type="dxa"/>
                  <w:shd w:val="clear" w:color="auto" w:fill="auto"/>
                  <w:vAlign w:val="center"/>
                </w:tcPr>
                <w:p w:rsidR="00E02A2F"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2022</w:t>
                  </w:r>
                </w:p>
              </w:tc>
            </w:tr>
            <w:tr w:rsidR="00E02A2F" w:rsidTr="00FA56AD">
              <w:trPr>
                <w:trHeight w:val="742"/>
              </w:trPr>
              <w:tc>
                <w:tcPr>
                  <w:tcW w:w="2122" w:type="dxa"/>
                  <w:vAlign w:val="center"/>
                </w:tcPr>
                <w:p w:rsidR="00E02A2F" w:rsidRPr="00927F1F" w:rsidRDefault="0018406F" w:rsidP="007A5BF6">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00CB6F0B" w:rsidRPr="00CB6F0B">
                    <w:rPr>
                      <w:rFonts w:asciiTheme="minorHAnsi" w:eastAsiaTheme="minorHAnsi" w:hAnsiTheme="minorHAnsi" w:cstheme="minorHAnsi"/>
                      <w:b/>
                      <w:i/>
                    </w:rPr>
                    <w:t>(</w:t>
                  </w:r>
                  <w:r w:rsidRPr="00CB6F0B">
                    <w:rPr>
                      <w:rFonts w:asciiTheme="minorHAnsi" w:eastAsiaTheme="minorHAnsi" w:hAnsiTheme="minorHAnsi" w:cstheme="minorHAnsi"/>
                      <w:b/>
                      <w:i/>
                    </w:rPr>
                    <w:t>en XPF</w:t>
                  </w:r>
                  <w:r w:rsidR="00CB6F0B" w:rsidRPr="00CB6F0B">
                    <w:rPr>
                      <w:rFonts w:asciiTheme="minorHAnsi" w:eastAsiaTheme="minorHAnsi" w:hAnsiTheme="minorHAnsi" w:cstheme="minorHAnsi"/>
                      <w:b/>
                      <w:i/>
                    </w:rPr>
                    <w:t>)</w:t>
                  </w: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r>
          </w:tbl>
          <w:p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927F1F">
              <w:rPr>
                <w:rFonts w:ascii="Arial Black" w:hAnsi="Arial Black" w:cstheme="minorHAnsi"/>
                <w:b/>
                <w:color w:val="990033"/>
                <w:sz w:val="18"/>
                <w:bdr w:val="single" w:sz="4" w:space="0" w:color="990033"/>
              </w:rPr>
              <w:t>2</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90"/>
              <w:gridCol w:w="2626"/>
              <w:gridCol w:w="2626"/>
              <w:gridCol w:w="2626"/>
            </w:tblGrid>
            <w:tr w:rsidR="009668FA" w:rsidTr="00FA56AD">
              <w:trPr>
                <w:trHeight w:val="397"/>
              </w:trPr>
              <w:tc>
                <w:tcPr>
                  <w:tcW w:w="2122" w:type="dxa"/>
                  <w:tcBorders>
                    <w:top w:val="single" w:sz="4" w:space="0" w:color="auto"/>
                    <w:left w:val="single" w:sz="4" w:space="0" w:color="auto"/>
                  </w:tcBorders>
                  <w:vAlign w:val="center"/>
                </w:tcPr>
                <w:p w:rsidR="009668FA" w:rsidRPr="00845F68"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2020</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2021</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2022</w:t>
                  </w:r>
                </w:p>
              </w:tc>
            </w:tr>
            <w:tr w:rsidR="00927F1F" w:rsidTr="00FA56AD">
              <w:trPr>
                <w:trHeight w:val="996"/>
              </w:trPr>
              <w:tc>
                <w:tcPr>
                  <w:tcW w:w="2122" w:type="dxa"/>
                  <w:vAlign w:val="center"/>
                </w:tcPr>
                <w:p w:rsidR="00C249E0" w:rsidRPr="000B1DAA" w:rsidRDefault="00927F1F" w:rsidP="000B1DAA">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00CB6F0B" w:rsidRPr="00CB6F0B">
                    <w:rPr>
                      <w:rFonts w:ascii="Arial Black" w:eastAsiaTheme="minorHAnsi" w:hAnsi="Arial Black" w:cstheme="minorHAnsi"/>
                      <w:b/>
                      <w:sz w:val="18"/>
                    </w:rPr>
                    <w:t xml:space="preserve">relatif à </w:t>
                  </w:r>
                  <w:r w:rsidR="00FA56AD">
                    <w:rPr>
                      <w:rFonts w:ascii="Arial Black" w:eastAsiaTheme="minorHAnsi" w:hAnsi="Arial Black" w:cstheme="minorHAnsi"/>
                      <w:b/>
                      <w:sz w:val="18"/>
                    </w:rPr>
                    <w:t>l</w:t>
                  </w:r>
                  <w:r w:rsidR="00CB6F0B" w:rsidRPr="00CB6F0B">
                    <w:rPr>
                      <w:rFonts w:ascii="Arial Black" w:eastAsiaTheme="minorHAnsi" w:hAnsi="Arial Black" w:cstheme="minorHAnsi"/>
                      <w:b/>
                      <w:sz w:val="18"/>
                    </w:rPr>
                    <w:t>’objet</w:t>
                  </w:r>
                  <w:r w:rsidR="004E476B">
                    <w:rPr>
                      <w:rFonts w:ascii="Arial Black" w:eastAsiaTheme="minorHAnsi" w:hAnsi="Arial Black" w:cstheme="minorHAnsi"/>
                      <w:b/>
                      <w:sz w:val="18"/>
                    </w:rPr>
                    <w:t> </w:t>
                  </w:r>
                  <w:r w:rsidR="000B1DAA">
                    <w:rPr>
                      <w:rFonts w:ascii="Arial Black" w:eastAsiaTheme="minorHAnsi" w:hAnsi="Arial Black" w:cstheme="minorHAnsi"/>
                      <w:b/>
                      <w:sz w:val="18"/>
                    </w:rPr>
                    <w:t>du marché</w:t>
                  </w:r>
                </w:p>
                <w:p w:rsidR="00927F1F" w:rsidRPr="00927F1F"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w:t>
                  </w:r>
                  <w:r w:rsidR="00927F1F" w:rsidRPr="00CB6F0B">
                    <w:rPr>
                      <w:rFonts w:asciiTheme="minorHAnsi" w:eastAsiaTheme="minorHAnsi" w:hAnsiTheme="minorHAnsi" w:cstheme="minorHAnsi"/>
                      <w:b/>
                      <w:i/>
                    </w:rPr>
                    <w:t>en XPF</w:t>
                  </w:r>
                  <w:r w:rsidRPr="00CB6F0B">
                    <w:rPr>
                      <w:rFonts w:asciiTheme="minorHAnsi" w:eastAsiaTheme="minorHAnsi" w:hAnsiTheme="minorHAnsi" w:cstheme="minorHAnsi"/>
                      <w:b/>
                      <w:i/>
                    </w:rPr>
                    <w:t>)</w:t>
                  </w: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CA2DA6" w:rsidRDefault="00CA2DA6" w:rsidP="000B1DAA">
            <w:pPr>
              <w:pStyle w:val="Corpsdetexte2"/>
              <w:spacing w:after="360"/>
              <w:rPr>
                <w:rFonts w:ascii="Arial Narrow" w:hAnsi="Arial Narrow"/>
                <w:szCs w:val="19"/>
              </w:rPr>
            </w:pPr>
            <w:bookmarkStart w:id="0" w:name="_GoBack"/>
            <w:bookmarkEnd w:id="0"/>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394510" w:rsidTr="0083594D">
              <w:tc>
                <w:tcPr>
                  <w:tcW w:w="709" w:type="dxa"/>
                  <w:tcBorders>
                    <w:right w:val="single" w:sz="8" w:space="0" w:color="auto"/>
                  </w:tcBorders>
                  <w:vAlign w:val="center"/>
                </w:tcPr>
                <w:p w:rsidR="0053414D" w:rsidRPr="00394510"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394510">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394510" w:rsidRDefault="002342D3" w:rsidP="00BB772D">
                  <w:pPr>
                    <w:suppressAutoHyphens/>
                    <w:spacing w:before="0"/>
                    <w:ind w:left="-108" w:firstLine="108"/>
                    <w:rPr>
                      <w:rFonts w:asciiTheme="minorHAnsi" w:hAnsiTheme="minorHAnsi" w:cstheme="minorHAnsi"/>
                      <w:bCs/>
                      <w:iCs/>
                      <w:sz w:val="20"/>
                      <w:szCs w:val="20"/>
                      <w:lang w:eastAsia="zh-CN"/>
                    </w:rPr>
                  </w:pPr>
                  <w:r w:rsidRPr="00394510">
                    <w:rPr>
                      <w:rFonts w:asciiTheme="minorHAnsi" w:hAnsiTheme="minorHAnsi" w:cstheme="minorHAnsi"/>
                      <w:b/>
                      <w:bCs/>
                      <w:iCs/>
                      <w:sz w:val="20"/>
                      <w:szCs w:val="20"/>
                      <w:u w:val="single"/>
                      <w:lang w:eastAsia="zh-CN"/>
                    </w:rPr>
                    <w:t>Pour les entreprises nouvellement créées :</w:t>
                  </w:r>
                  <w:r w:rsidRPr="00394510">
                    <w:rPr>
                      <w:rFonts w:asciiTheme="minorHAnsi" w:hAnsiTheme="minorHAnsi" w:cstheme="minorHAnsi"/>
                      <w:bCs/>
                      <w:iCs/>
                      <w:sz w:val="20"/>
                      <w:szCs w:val="20"/>
                      <w:lang w:eastAsia="zh-CN"/>
                    </w:rPr>
                    <w:t xml:space="preserve"> joindre un justificatif de la date de création de l’entreprise et :</w:t>
                  </w:r>
                </w:p>
                <w:p w:rsidR="002342D3" w:rsidRPr="00394510"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394510">
                    <w:rPr>
                      <w:rFonts w:asciiTheme="minorHAnsi" w:hAnsiTheme="minorHAnsi" w:cstheme="minorHAnsi"/>
                      <w:bCs/>
                      <w:iCs/>
                      <w:sz w:val="20"/>
                      <w:szCs w:val="20"/>
                      <w:lang w:eastAsia="zh-CN"/>
                    </w:rPr>
                    <w:t xml:space="preserve">renseigner les tableaux </w:t>
                  </w:r>
                  <w:r w:rsidRPr="00394510">
                    <w:rPr>
                      <w:rFonts w:asciiTheme="minorHAnsi" w:hAnsiTheme="minorHAnsi" w:cstheme="minorHAnsi"/>
                      <w:b/>
                      <w:bCs/>
                      <w:iCs/>
                      <w:sz w:val="20"/>
                      <w:szCs w:val="20"/>
                      <w:lang w:eastAsia="zh-CN"/>
                    </w:rPr>
                    <w:t>D1</w:t>
                  </w:r>
                  <w:r w:rsidRPr="00394510">
                    <w:rPr>
                      <w:rFonts w:asciiTheme="minorHAnsi" w:hAnsiTheme="minorHAnsi" w:cstheme="minorHAnsi"/>
                      <w:bCs/>
                      <w:iCs/>
                      <w:sz w:val="20"/>
                      <w:szCs w:val="20"/>
                      <w:lang w:eastAsia="zh-CN"/>
                    </w:rPr>
                    <w:t xml:space="preserve"> et </w:t>
                  </w:r>
                  <w:r w:rsidRPr="00394510">
                    <w:rPr>
                      <w:rFonts w:asciiTheme="minorHAnsi" w:hAnsiTheme="minorHAnsi" w:cstheme="minorHAnsi"/>
                      <w:b/>
                      <w:bCs/>
                      <w:iCs/>
                      <w:sz w:val="20"/>
                      <w:szCs w:val="20"/>
                      <w:lang w:eastAsia="zh-CN"/>
                    </w:rPr>
                    <w:t>D2</w:t>
                  </w:r>
                  <w:r w:rsidRPr="00394510">
                    <w:rPr>
                      <w:rFonts w:asciiTheme="minorHAnsi" w:hAnsiTheme="minorHAnsi" w:cstheme="minorHAnsi"/>
                      <w:bCs/>
                      <w:iCs/>
                      <w:sz w:val="20"/>
                      <w:szCs w:val="20"/>
                      <w:lang w:eastAsia="zh-CN"/>
                    </w:rPr>
                    <w:t xml:space="preserve"> sur les </w:t>
                  </w:r>
                  <w:r w:rsidR="00034EA4" w:rsidRPr="00394510">
                    <w:rPr>
                      <w:rFonts w:asciiTheme="minorHAnsi" w:hAnsiTheme="minorHAnsi" w:cstheme="minorHAnsi"/>
                      <w:bCs/>
                      <w:iCs/>
                      <w:sz w:val="20"/>
                      <w:szCs w:val="20"/>
                      <w:lang w:eastAsia="zh-CN"/>
                    </w:rPr>
                    <w:t xml:space="preserve">seuls </w:t>
                  </w:r>
                  <w:r w:rsidRPr="00394510">
                    <w:rPr>
                      <w:rFonts w:asciiTheme="minorHAnsi" w:hAnsiTheme="minorHAnsi" w:cstheme="minorHAnsi"/>
                      <w:bCs/>
                      <w:iCs/>
                      <w:sz w:val="20"/>
                      <w:szCs w:val="20"/>
                      <w:lang w:eastAsia="zh-CN"/>
                    </w:rPr>
                    <w:t>exercices (années) effectivement disponibles ;</w:t>
                  </w:r>
                </w:p>
                <w:p w:rsidR="00A51981" w:rsidRPr="00394510"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394510">
                    <w:rPr>
                      <w:rFonts w:asciiTheme="minorHAnsi" w:hAnsiTheme="minorHAnsi" w:cstheme="minorHAnsi"/>
                      <w:bCs/>
                      <w:iCs/>
                      <w:spacing w:val="-4"/>
                      <w:sz w:val="20"/>
                      <w:szCs w:val="20"/>
                      <w:u w:val="single"/>
                      <w:lang w:eastAsia="zh-CN"/>
                    </w:rPr>
                    <w:t>en cas de création dans l’année en cours</w:t>
                  </w:r>
                  <w:r w:rsidRPr="00394510">
                    <w:rPr>
                      <w:rFonts w:asciiTheme="minorHAnsi" w:hAnsiTheme="minorHAnsi" w:cstheme="minorHAnsi"/>
                      <w:bCs/>
                      <w:iCs/>
                      <w:spacing w:val="-4"/>
                      <w:sz w:val="20"/>
                      <w:szCs w:val="20"/>
                      <w:lang w:eastAsia="zh-CN"/>
                    </w:rPr>
                    <w:t xml:space="preserve"> </w:t>
                  </w:r>
                  <w:r w:rsidR="00D635D1" w:rsidRPr="00394510">
                    <w:rPr>
                      <w:rFonts w:asciiTheme="minorHAnsi" w:hAnsiTheme="minorHAnsi" w:cstheme="minorHAnsi"/>
                      <w:bCs/>
                      <w:iCs/>
                      <w:spacing w:val="-4"/>
                      <w:sz w:val="20"/>
                      <w:szCs w:val="20"/>
                      <w:lang w:eastAsia="zh-CN"/>
                    </w:rPr>
                    <w:t>(</w:t>
                  </w:r>
                  <w:r w:rsidRPr="00394510">
                    <w:rPr>
                      <w:rFonts w:asciiTheme="minorHAnsi" w:hAnsiTheme="minorHAnsi" w:cstheme="minorHAnsi"/>
                      <w:bCs/>
                      <w:iCs/>
                      <w:spacing w:val="-4"/>
                      <w:sz w:val="20"/>
                      <w:szCs w:val="20"/>
                      <w:lang w:eastAsia="zh-CN"/>
                    </w:rPr>
                    <w:t>à la date limite de réception des dossiers de candidature et d’offres</w:t>
                  </w:r>
                  <w:r w:rsidRPr="00394510">
                    <w:rPr>
                      <w:rStyle w:val="Appelnotedebasdep"/>
                      <w:rFonts w:asciiTheme="minorHAnsi" w:hAnsiTheme="minorHAnsi" w:cstheme="minorHAnsi"/>
                      <w:bCs/>
                      <w:iCs/>
                      <w:spacing w:val="-4"/>
                      <w:sz w:val="20"/>
                      <w:szCs w:val="20"/>
                      <w:lang w:eastAsia="zh-CN"/>
                    </w:rPr>
                    <w:footnoteReference w:id="4"/>
                  </w:r>
                  <w:r w:rsidR="00D635D1" w:rsidRPr="00394510">
                    <w:rPr>
                      <w:rFonts w:asciiTheme="minorHAnsi" w:hAnsiTheme="minorHAnsi" w:cstheme="minorHAnsi"/>
                      <w:bCs/>
                      <w:iCs/>
                      <w:spacing w:val="-4"/>
                      <w:sz w:val="20"/>
                      <w:szCs w:val="20"/>
                      <w:lang w:eastAsia="zh-CN"/>
                    </w:rPr>
                    <w:t>)</w:t>
                  </w:r>
                  <w:r w:rsidRPr="00394510">
                    <w:rPr>
                      <w:rFonts w:asciiTheme="minorHAnsi" w:hAnsiTheme="minorHAnsi" w:cstheme="minorHAnsi"/>
                      <w:bCs/>
                      <w:iCs/>
                      <w:spacing w:val="-4"/>
                      <w:sz w:val="20"/>
                      <w:szCs w:val="20"/>
                      <w:lang w:eastAsia="zh-CN"/>
                    </w:rPr>
                    <w:t xml:space="preserve">, joindre une </w:t>
                  </w:r>
                  <w:r w:rsidRPr="00394510">
                    <w:rPr>
                      <w:rFonts w:asciiTheme="minorHAnsi" w:hAnsiTheme="minorHAnsi" w:cstheme="minorHAnsi"/>
                      <w:b/>
                      <w:bCs/>
                      <w:iCs/>
                      <w:spacing w:val="-4"/>
                      <w:sz w:val="20"/>
                      <w:szCs w:val="20"/>
                      <w:lang w:eastAsia="zh-CN"/>
                    </w:rPr>
                    <w:t>déclaration appropriée de banque(s)</w:t>
                  </w:r>
                  <w:r w:rsidRPr="00394510">
                    <w:rPr>
                      <w:rStyle w:val="Appelnotedebasdep"/>
                      <w:rFonts w:asciiTheme="minorHAnsi" w:hAnsiTheme="minorHAnsi" w:cstheme="minorHAnsi"/>
                      <w:bCs/>
                      <w:iCs/>
                      <w:spacing w:val="-4"/>
                      <w:sz w:val="20"/>
                      <w:szCs w:val="20"/>
                      <w:lang w:eastAsia="zh-CN"/>
                    </w:rPr>
                    <w:footnoteReference w:id="5"/>
                  </w:r>
                  <w:r w:rsidRPr="00394510">
                    <w:rPr>
                      <w:rFonts w:asciiTheme="minorHAnsi" w:hAnsiTheme="minorHAnsi" w:cstheme="minorHAnsi"/>
                      <w:bCs/>
                      <w:iCs/>
                      <w:spacing w:val="-4"/>
                      <w:sz w:val="20"/>
                      <w:szCs w:val="20"/>
                      <w:lang w:eastAsia="zh-CN"/>
                    </w:rPr>
                    <w:t xml:space="preserve"> ou une </w:t>
                  </w:r>
                  <w:r w:rsidRPr="00394510">
                    <w:rPr>
                      <w:rFonts w:asciiTheme="minorHAnsi" w:hAnsiTheme="minorHAnsi" w:cstheme="minorHAnsi"/>
                      <w:b/>
                      <w:bCs/>
                      <w:iCs/>
                      <w:spacing w:val="-4"/>
                      <w:sz w:val="20"/>
                      <w:szCs w:val="20"/>
                      <w:lang w:eastAsia="zh-CN"/>
                    </w:rPr>
                    <w:t>attestation d’assurance pour les risques professionnels</w:t>
                  </w:r>
                  <w:r w:rsidRPr="00394510">
                    <w:rPr>
                      <w:rStyle w:val="Appelnotedebasdep"/>
                      <w:rFonts w:asciiTheme="minorHAnsi" w:hAnsiTheme="minorHAnsi" w:cstheme="minorHAnsi"/>
                      <w:bCs/>
                      <w:iCs/>
                      <w:spacing w:val="-4"/>
                      <w:sz w:val="20"/>
                      <w:szCs w:val="20"/>
                      <w:lang w:eastAsia="zh-CN"/>
                    </w:rPr>
                    <w:footnoteReference w:id="6"/>
                  </w:r>
                  <w:r w:rsidRPr="00394510">
                    <w:rPr>
                      <w:rFonts w:asciiTheme="minorHAnsi" w:hAnsiTheme="minorHAnsi" w:cstheme="minorHAnsi"/>
                      <w:bCs/>
                      <w:iCs/>
                      <w:spacing w:val="-4"/>
                      <w:sz w:val="20"/>
                      <w:szCs w:val="20"/>
                      <w:lang w:eastAsia="zh-CN"/>
                    </w:rPr>
                    <w:t>.</w:t>
                  </w:r>
                </w:p>
              </w:tc>
            </w:tr>
          </w:tbl>
          <w:p w:rsidR="0053414D" w:rsidRPr="00875956" w:rsidRDefault="00875956" w:rsidP="00875956">
            <w:pPr>
              <w:pStyle w:val="Corpsdetexte3"/>
              <w:spacing w:before="240"/>
              <w:rPr>
                <w:rFonts w:ascii="Arial Black" w:hAnsi="Arial Black" w:cstheme="minorHAnsi"/>
                <w:b/>
                <w:color w:val="990033"/>
                <w:sz w:val="18"/>
                <w:bdr w:val="single" w:sz="4" w:space="0" w:color="990033"/>
              </w:rPr>
            </w:pPr>
            <w:r w:rsidRPr="00394510">
              <w:rPr>
                <w:rFonts w:ascii="Arial Black" w:hAnsi="Arial Black" w:cstheme="minorHAnsi"/>
                <w:b/>
                <w:color w:val="990033"/>
                <w:sz w:val="18"/>
                <w:bdr w:val="single" w:sz="4" w:space="0" w:color="990033"/>
              </w:rPr>
              <w:t>D.3 - Assurance pour les risques professionnels</w:t>
            </w:r>
          </w:p>
          <w:p w:rsidR="00875956"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394510" w:rsidRDefault="000B1DAA"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394510" w:rsidRPr="00394510">
                  <w:rPr>
                    <w:rFonts w:ascii="MS Gothic" w:eastAsia="MS Gothic" w:hAnsi="MS Gothic" w:cstheme="minorHAnsi" w:hint="eastAsia"/>
                    <w:b/>
                    <w:sz w:val="24"/>
                    <w:szCs w:val="20"/>
                    <w:lang w:eastAsia="zh-CN"/>
                  </w:rPr>
                  <w:t>☒</w:t>
                </w:r>
              </w:sdtContent>
            </w:sdt>
            <w:r w:rsidR="00875956" w:rsidRPr="00394510">
              <w:rPr>
                <w:rFonts w:asciiTheme="minorHAnsi" w:eastAsia="Times New Roman" w:hAnsiTheme="minorHAnsi" w:cstheme="minorHAnsi"/>
                <w:b/>
                <w:sz w:val="20"/>
                <w:szCs w:val="20"/>
                <w:lang w:eastAsia="zh-CN"/>
              </w:rPr>
              <w:t xml:space="preserve">  OUI</w:t>
            </w:r>
          </w:p>
          <w:p w:rsidR="00875956" w:rsidRPr="006C197F" w:rsidRDefault="00875956" w:rsidP="006C197F">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d’assurance</w:t>
            </w:r>
            <w:r w:rsidR="00394510">
              <w:rPr>
                <w:rFonts w:asciiTheme="minorHAnsi" w:eastAsia="Times New Roman" w:hAnsiTheme="minorHAnsi" w:cstheme="minorHAnsi"/>
                <w:b/>
                <w:sz w:val="20"/>
                <w:szCs w:val="20"/>
                <w:lang w:eastAsia="zh-CN"/>
              </w:rPr>
              <w:t xml:space="preserve"> (pour les risques professionnels)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7"/>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3700E0">
            <w:pPr>
              <w:pStyle w:val="Corpsdetexte3"/>
              <w:tabs>
                <w:tab w:val="clear" w:pos="576"/>
              </w:tabs>
              <w:suppressAutoHyphens w:val="0"/>
              <w:spacing w:before="8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w:t>
            </w:r>
            <w:r w:rsidR="000846BF">
              <w:rPr>
                <w:rFonts w:ascii="Arial Black" w:hAnsi="Arial Black" w:cstheme="minorHAnsi"/>
                <w:b/>
                <w:color w:val="990033"/>
                <w:sz w:val="18"/>
                <w:bdr w:val="single" w:sz="4" w:space="0" w:color="990033"/>
              </w:rPr>
              <w:t xml:space="preserve">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p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8B611E">
              <w:rPr>
                <w:rFonts w:asciiTheme="minorHAnsi" w:eastAsia="Times New Roman" w:hAnsiTheme="minorHAnsi" w:cstheme="minorHAnsi"/>
                <w:b/>
                <w:sz w:val="20"/>
                <w:szCs w:val="20"/>
                <w:lang w:eastAsia="zh-CN"/>
              </w:rPr>
              <w:t>principa</w:t>
            </w:r>
            <w:r w:rsidR="00E41DBD">
              <w:rPr>
                <w:rFonts w:asciiTheme="minorHAnsi" w:eastAsia="Times New Roman" w:hAnsiTheme="minorHAnsi" w:cstheme="minorHAnsi"/>
                <w:b/>
                <w:sz w:val="20"/>
                <w:szCs w:val="20"/>
                <w:lang w:eastAsia="zh-CN"/>
              </w:rPr>
              <w:t xml:space="preserve">les prestations de service </w:t>
            </w:r>
            <w:r w:rsidR="00394510">
              <w:rPr>
                <w:rFonts w:asciiTheme="minorHAnsi" w:eastAsia="Times New Roman" w:hAnsiTheme="minorHAnsi" w:cstheme="minorHAnsi"/>
                <w:b/>
                <w:sz w:val="20"/>
                <w:szCs w:val="20"/>
                <w:lang w:eastAsia="zh-CN"/>
              </w:rPr>
              <w:t xml:space="preserve">comparables </w:t>
            </w:r>
            <w:r w:rsidR="008B611E">
              <w:rPr>
                <w:rFonts w:asciiTheme="minorHAnsi" w:eastAsia="Times New Roman" w:hAnsiTheme="minorHAnsi" w:cstheme="minorHAnsi"/>
                <w:b/>
                <w:sz w:val="20"/>
                <w:szCs w:val="20"/>
                <w:lang w:eastAsia="zh-CN"/>
              </w:rPr>
              <w:t>au marché, exécuté</w:t>
            </w:r>
            <w:r w:rsidR="00E41DBD">
              <w:rPr>
                <w:rFonts w:asciiTheme="minorHAnsi" w:eastAsia="Times New Roman" w:hAnsiTheme="minorHAnsi" w:cstheme="minorHAnsi"/>
                <w:b/>
                <w:sz w:val="20"/>
                <w:szCs w:val="20"/>
                <w:lang w:eastAsia="zh-CN"/>
              </w:rPr>
              <w:t>e</w:t>
            </w:r>
            <w:r w:rsidR="008B611E">
              <w:rPr>
                <w:rFonts w:asciiTheme="minorHAnsi" w:eastAsia="Times New Roman" w:hAnsiTheme="minorHAnsi" w:cstheme="minorHAnsi"/>
                <w:b/>
                <w:sz w:val="20"/>
                <w:szCs w:val="20"/>
                <w:lang w:eastAsia="zh-CN"/>
              </w:rPr>
              <w:t xml:space="preserve">s par le candidat </w:t>
            </w:r>
            <w:r w:rsidR="00AD2FBB">
              <w:rPr>
                <w:rFonts w:asciiTheme="minorHAnsi" w:eastAsia="Times New Roman" w:hAnsiTheme="minorHAnsi" w:cstheme="minorHAnsi"/>
                <w:b/>
                <w:sz w:val="20"/>
                <w:szCs w:val="20"/>
                <w:lang w:eastAsia="zh-CN"/>
              </w:rPr>
              <w:t xml:space="preserve">au cours des </w:t>
            </w:r>
            <w:r w:rsidR="00394510">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9940" w:type="dxa"/>
              <w:tblLook w:val="04A0" w:firstRow="1" w:lastRow="0" w:firstColumn="1" w:lastColumn="0" w:noHBand="0" w:noVBand="1"/>
            </w:tblPr>
            <w:tblGrid>
              <w:gridCol w:w="2557"/>
              <w:gridCol w:w="1857"/>
              <w:gridCol w:w="2974"/>
              <w:gridCol w:w="2552"/>
            </w:tblGrid>
            <w:tr w:rsidR="00394510" w:rsidTr="00394510">
              <w:trPr>
                <w:trHeight w:val="397"/>
              </w:trPr>
              <w:tc>
                <w:tcPr>
                  <w:tcW w:w="2557" w:type="dxa"/>
                  <w:tcBorders>
                    <w:top w:val="single" w:sz="4" w:space="0" w:color="auto"/>
                    <w:left w:val="single" w:sz="4" w:space="0" w:color="auto"/>
                  </w:tcBorders>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444610">
                    <w:rPr>
                      <w:rFonts w:asciiTheme="minorHAnsi" w:eastAsiaTheme="minorHAnsi" w:hAnsiTheme="minorHAnsi" w:cstheme="minorHAnsi"/>
                      <w:b/>
                    </w:rPr>
                    <w:t>Année</w:t>
                  </w:r>
                  <w:r>
                    <w:rPr>
                      <w:rFonts w:asciiTheme="minorHAnsi" w:eastAsiaTheme="minorHAnsi" w:hAnsiTheme="minorHAnsi" w:cstheme="minorHAnsi"/>
                    </w:rPr>
                    <w:t xml:space="preserve"> </w:t>
                  </w:r>
                  <w:r w:rsidRPr="00627741">
                    <w:rPr>
                      <w:rFonts w:ascii="Arial Narrow" w:eastAsiaTheme="minorHAnsi" w:hAnsi="Arial Narrow" w:cs="Angsana New"/>
                      <w:b/>
                      <w:i/>
                      <w:sz w:val="18"/>
                    </w:rPr>
                    <w:t>(*)</w:t>
                  </w:r>
                </w:p>
              </w:tc>
              <w:tc>
                <w:tcPr>
                  <w:tcW w:w="1857" w:type="dxa"/>
                  <w:vAlign w:val="center"/>
                </w:tcPr>
                <w:p w:rsidR="00394510" w:rsidRPr="00394510" w:rsidRDefault="00394510"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2020</w:t>
                  </w:r>
                </w:p>
              </w:tc>
              <w:tc>
                <w:tcPr>
                  <w:tcW w:w="2974" w:type="dxa"/>
                  <w:vAlign w:val="center"/>
                </w:tcPr>
                <w:p w:rsidR="00394510" w:rsidRPr="00394510" w:rsidRDefault="00394510"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2021</w:t>
                  </w:r>
                </w:p>
              </w:tc>
              <w:tc>
                <w:tcPr>
                  <w:tcW w:w="2552" w:type="dxa"/>
                  <w:vAlign w:val="center"/>
                </w:tcPr>
                <w:p w:rsidR="00394510" w:rsidRPr="00394510" w:rsidRDefault="00394510"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2022</w:t>
                  </w:r>
                </w:p>
              </w:tc>
            </w:tr>
            <w:tr w:rsidR="00394510" w:rsidTr="00394510">
              <w:trPr>
                <w:trHeight w:val="732"/>
              </w:trPr>
              <w:tc>
                <w:tcPr>
                  <w:tcW w:w="2557" w:type="dxa"/>
                  <w:vAlign w:val="center"/>
                </w:tcPr>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857" w:type="dxa"/>
                  <w:vAlign w:val="center"/>
                </w:tcPr>
                <w:p w:rsidR="00394510" w:rsidRDefault="00394510" w:rsidP="005913EE">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r>
                    <w:rPr>
                      <w:rFonts w:asciiTheme="minorHAnsi" w:eastAsiaTheme="minorHAnsi" w:hAnsiTheme="minorHAnsi" w:cstheme="minorHAnsi"/>
                    </w:rPr>
                    <w:t xml:space="preserve"> </w:t>
                  </w:r>
                </w:p>
              </w:tc>
              <w:tc>
                <w:tcPr>
                  <w:tcW w:w="2974" w:type="dxa"/>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p>
              </w:tc>
              <w:tc>
                <w:tcPr>
                  <w:tcW w:w="2552" w:type="dxa"/>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p>
              </w:tc>
            </w:tr>
          </w:tbl>
          <w:p w:rsidR="004803F6" w:rsidRDefault="003700E0" w:rsidP="003700E0">
            <w:pPr>
              <w:pStyle w:val="Corpsdetexte2"/>
              <w:spacing w:after="32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4803F6" w:rsidRPr="00115F44">
              <w:rPr>
                <w:rFonts w:ascii="Arial Narrow" w:eastAsia="Times New Roman" w:hAnsi="Arial Narrow"/>
                <w:b/>
                <w:bCs w:val="0"/>
                <w:sz w:val="16"/>
                <w:szCs w:val="18"/>
                <w:lang w:eastAsia="zh-CN"/>
              </w:rPr>
              <w:t xml:space="preserve">(**) </w:t>
            </w:r>
            <w:r w:rsidR="004803F6"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rsidTr="00C062AB">
              <w:tc>
                <w:tcPr>
                  <w:tcW w:w="851" w:type="dxa"/>
                  <w:tcBorders>
                    <w:right w:val="single" w:sz="8" w:space="0" w:color="auto"/>
                  </w:tcBorders>
                  <w:vAlign w:val="center"/>
                </w:tcPr>
                <w:p w:rsidR="00244FE1" w:rsidRPr="00244FE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F0211E" w:rsidRDefault="00BE2307" w:rsidP="003700E0">
                  <w:pPr>
                    <w:pStyle w:val="Corpsdetexte2"/>
                    <w:ind w:left="176" w:hanging="176"/>
                    <w:contextualSpacing/>
                    <w:rPr>
                      <w:rFonts w:asciiTheme="minorHAnsi" w:eastAsia="Times New Roman" w:hAnsiTheme="minorHAnsi" w:cstheme="minorHAnsi"/>
                      <w:bCs w:val="0"/>
                      <w:i w:val="0"/>
                      <w:sz w:val="20"/>
                      <w:szCs w:val="18"/>
                      <w:highlight w:val="yellow"/>
                      <w:lang w:eastAsia="zh-CN"/>
                    </w:rPr>
                  </w:pPr>
                  <w:r w:rsidRPr="00F0211E">
                    <w:rPr>
                      <w:rFonts w:asciiTheme="minorHAnsi" w:eastAsia="Times New Roman" w:hAnsiTheme="minorHAnsi" w:cstheme="minorHAnsi"/>
                      <w:b/>
                      <w:bCs w:val="0"/>
                      <w:i w:val="0"/>
                      <w:sz w:val="20"/>
                      <w:szCs w:val="18"/>
                      <w:highlight w:val="yellow"/>
                      <w:lang w:eastAsia="zh-CN"/>
                    </w:rPr>
                    <w:t>1°</w:t>
                  </w:r>
                  <w:r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La liste fournie doit indiquer le </w:t>
                  </w:r>
                  <w:r w:rsidR="001A6690" w:rsidRPr="00F0211E">
                    <w:rPr>
                      <w:rFonts w:asciiTheme="minorHAnsi" w:eastAsia="Times New Roman" w:hAnsiTheme="minorHAnsi" w:cstheme="minorHAnsi"/>
                      <w:b/>
                      <w:bCs w:val="0"/>
                      <w:i w:val="0"/>
                      <w:sz w:val="20"/>
                      <w:szCs w:val="18"/>
                      <w:highlight w:val="yellow"/>
                      <w:lang w:eastAsia="zh-CN"/>
                    </w:rPr>
                    <w:t>montant</w:t>
                  </w:r>
                  <w:r w:rsidR="001A6690" w:rsidRPr="00F0211E">
                    <w:rPr>
                      <w:rFonts w:asciiTheme="minorHAnsi" w:eastAsia="Times New Roman" w:hAnsiTheme="minorHAnsi" w:cstheme="minorHAnsi"/>
                      <w:bCs w:val="0"/>
                      <w:i w:val="0"/>
                      <w:sz w:val="20"/>
                      <w:szCs w:val="18"/>
                      <w:highlight w:val="yellow"/>
                      <w:lang w:eastAsia="zh-CN"/>
                    </w:rPr>
                    <w:t xml:space="preserve">, la </w:t>
                  </w:r>
                  <w:r w:rsidR="001A6690" w:rsidRPr="00F0211E">
                    <w:rPr>
                      <w:rFonts w:asciiTheme="minorHAnsi" w:eastAsia="Times New Roman" w:hAnsiTheme="minorHAnsi" w:cstheme="minorHAnsi"/>
                      <w:b/>
                      <w:bCs w:val="0"/>
                      <w:i w:val="0"/>
                      <w:sz w:val="20"/>
                      <w:szCs w:val="18"/>
                      <w:highlight w:val="yellow"/>
                      <w:lang w:eastAsia="zh-CN"/>
                    </w:rPr>
                    <w:t>date</w:t>
                  </w:r>
                  <w:r w:rsidR="001A6690" w:rsidRPr="00F0211E">
                    <w:rPr>
                      <w:rFonts w:asciiTheme="minorHAnsi" w:eastAsia="Times New Roman" w:hAnsiTheme="minorHAnsi" w:cstheme="minorHAnsi"/>
                      <w:bCs w:val="0"/>
                      <w:i w:val="0"/>
                      <w:sz w:val="20"/>
                      <w:szCs w:val="18"/>
                      <w:highlight w:val="yellow"/>
                      <w:lang w:eastAsia="zh-CN"/>
                    </w:rPr>
                    <w:t xml:space="preserve"> et le </w:t>
                  </w:r>
                  <w:r w:rsidR="001A6690" w:rsidRPr="00F0211E">
                    <w:rPr>
                      <w:rFonts w:asciiTheme="minorHAnsi" w:eastAsia="Times New Roman" w:hAnsiTheme="minorHAnsi" w:cstheme="minorHAnsi"/>
                      <w:b/>
                      <w:bCs w:val="0"/>
                      <w:i w:val="0"/>
                      <w:sz w:val="20"/>
                      <w:szCs w:val="18"/>
                      <w:highlight w:val="yellow"/>
                      <w:lang w:eastAsia="zh-CN"/>
                    </w:rPr>
                    <w:t>destinataire</w:t>
                  </w:r>
                  <w:r w:rsidR="001A6690" w:rsidRPr="00F0211E">
                    <w:rPr>
                      <w:rFonts w:asciiTheme="minorHAnsi" w:eastAsia="Times New Roman" w:hAnsiTheme="minorHAnsi" w:cstheme="minorHAnsi"/>
                      <w:bCs w:val="0"/>
                      <w:i w:val="0"/>
                      <w:sz w:val="20"/>
                      <w:szCs w:val="18"/>
                      <w:highlight w:val="yellow"/>
                      <w:lang w:eastAsia="zh-CN"/>
                    </w:rPr>
                    <w:t xml:space="preserve"> public ou privé</w:t>
                  </w:r>
                  <w:r w:rsidR="00666124" w:rsidRPr="00F0211E">
                    <w:rPr>
                      <w:rFonts w:asciiTheme="minorHAnsi" w:eastAsia="Times New Roman" w:hAnsiTheme="minorHAnsi" w:cstheme="minorHAnsi"/>
                      <w:bCs w:val="0"/>
                      <w:i w:val="0"/>
                      <w:sz w:val="20"/>
                      <w:szCs w:val="18"/>
                      <w:highlight w:val="yellow"/>
                      <w:lang w:eastAsia="zh-CN"/>
                    </w:rPr>
                    <w:t>.</w:t>
                  </w:r>
                </w:p>
                <w:p w:rsidR="001A6690" w:rsidRPr="00666124"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F0211E">
                    <w:rPr>
                      <w:rFonts w:asciiTheme="minorHAnsi" w:eastAsia="Times New Roman" w:hAnsiTheme="minorHAnsi" w:cstheme="minorHAnsi"/>
                      <w:b/>
                      <w:bCs w:val="0"/>
                      <w:i w:val="0"/>
                      <w:sz w:val="20"/>
                      <w:szCs w:val="18"/>
                      <w:highlight w:val="yellow"/>
                      <w:lang w:eastAsia="zh-CN"/>
                    </w:rPr>
                    <w:t>2°</w:t>
                  </w:r>
                  <w:r w:rsidR="00BE2307"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Les livraisons ou les prestations de services sont </w:t>
                  </w:r>
                  <w:r w:rsidR="001A6690" w:rsidRPr="00F0211E">
                    <w:rPr>
                      <w:rFonts w:asciiTheme="minorHAnsi" w:eastAsia="Times New Roman" w:hAnsiTheme="minorHAnsi" w:cstheme="minorHAnsi"/>
                      <w:b/>
                      <w:bCs w:val="0"/>
                      <w:i w:val="0"/>
                      <w:sz w:val="20"/>
                      <w:szCs w:val="18"/>
                      <w:highlight w:val="yellow"/>
                      <w:lang w:eastAsia="zh-CN"/>
                    </w:rPr>
                    <w:t xml:space="preserve">prouvées </w:t>
                  </w:r>
                  <w:r w:rsidR="00666124" w:rsidRPr="00F0211E">
                    <w:rPr>
                      <w:rFonts w:asciiTheme="minorHAnsi" w:eastAsia="Times New Roman" w:hAnsiTheme="minorHAnsi" w:cstheme="minorHAnsi"/>
                      <w:b/>
                      <w:bCs w:val="0"/>
                      <w:i w:val="0"/>
                      <w:sz w:val="20"/>
                      <w:szCs w:val="18"/>
                      <w:highlight w:val="yellow"/>
                      <w:lang w:eastAsia="zh-CN"/>
                    </w:rPr>
                    <w:t>par des attestations</w:t>
                  </w:r>
                  <w:r w:rsidR="00666124" w:rsidRPr="00F0211E">
                    <w:rPr>
                      <w:rFonts w:asciiTheme="minorHAnsi" w:eastAsia="Times New Roman" w:hAnsiTheme="minorHAnsi" w:cstheme="minorHAnsi"/>
                      <w:bCs w:val="0"/>
                      <w:i w:val="0"/>
                      <w:sz w:val="20"/>
                      <w:szCs w:val="18"/>
                      <w:highlight w:val="yellow"/>
                      <w:lang w:eastAsia="zh-CN"/>
                    </w:rPr>
                    <w:t xml:space="preserve"> du destinataire</w:t>
                  </w:r>
                  <w:r w:rsidR="00825A93" w:rsidRPr="00F0211E">
                    <w:rPr>
                      <w:rFonts w:asciiTheme="minorHAnsi" w:eastAsia="Times New Roman" w:hAnsiTheme="minorHAnsi" w:cstheme="minorHAnsi"/>
                      <w:bCs w:val="0"/>
                      <w:i w:val="0"/>
                      <w:sz w:val="20"/>
                      <w:szCs w:val="18"/>
                      <w:highlight w:val="yellow"/>
                      <w:lang w:eastAsia="zh-CN"/>
                    </w:rPr>
                    <w:t xml:space="preserve"> </w:t>
                  </w:r>
                  <w:r w:rsidR="00666124" w:rsidRPr="00F0211E">
                    <w:rPr>
                      <w:rFonts w:asciiTheme="minorHAnsi" w:eastAsia="Times New Roman" w:hAnsiTheme="minorHAnsi" w:cstheme="minorHAnsi"/>
                      <w:bCs w:val="0"/>
                      <w:i w:val="0"/>
                      <w:sz w:val="20"/>
                      <w:szCs w:val="18"/>
                      <w:highlight w:val="yellow"/>
                      <w:lang w:eastAsia="zh-CN"/>
                    </w:rPr>
                    <w:t xml:space="preserve">ou, </w:t>
                  </w:r>
                  <w:r w:rsidR="00666124" w:rsidRPr="00F0211E">
                    <w:rPr>
                      <w:rFonts w:asciiTheme="minorHAnsi" w:eastAsia="Times New Roman" w:hAnsiTheme="minorHAnsi" w:cstheme="minorHAnsi"/>
                      <w:bCs w:val="0"/>
                      <w:sz w:val="20"/>
                      <w:szCs w:val="18"/>
                      <w:highlight w:val="yellow"/>
                      <w:lang w:eastAsia="zh-CN"/>
                    </w:rPr>
                    <w:t>à défaut</w:t>
                  </w:r>
                  <w:r w:rsidR="00666124" w:rsidRPr="00F0211E">
                    <w:rPr>
                      <w:rFonts w:asciiTheme="minorHAnsi" w:eastAsia="Times New Roman" w:hAnsiTheme="minorHAnsi" w:cstheme="minorHAnsi"/>
                      <w:bCs w:val="0"/>
                      <w:i w:val="0"/>
                      <w:sz w:val="20"/>
                      <w:szCs w:val="18"/>
                      <w:highlight w:val="yellow"/>
                      <w:lang w:eastAsia="zh-CN"/>
                    </w:rPr>
                    <w:t>, par une déclaration du candidat</w:t>
                  </w:r>
                  <w:r w:rsidR="000559B5" w:rsidRPr="00F0211E">
                    <w:rPr>
                      <w:rFonts w:asciiTheme="minorHAnsi" w:eastAsia="Times New Roman" w:hAnsiTheme="minorHAnsi" w:cstheme="minorHAnsi"/>
                      <w:bCs w:val="0"/>
                      <w:i w:val="0"/>
                      <w:sz w:val="20"/>
                      <w:szCs w:val="18"/>
                      <w:highlight w:val="yellow"/>
                      <w:lang w:eastAsia="zh-CN"/>
                    </w:rPr>
                    <w:t>, annexées au présent document</w:t>
                  </w:r>
                  <w:r w:rsidR="00666124" w:rsidRPr="00F0211E">
                    <w:rPr>
                      <w:rFonts w:asciiTheme="minorHAnsi" w:eastAsia="Times New Roman" w:hAnsiTheme="minorHAnsi" w:cstheme="minorHAnsi"/>
                      <w:bCs w:val="0"/>
                      <w:i w:val="0"/>
                      <w:sz w:val="20"/>
                      <w:szCs w:val="18"/>
                      <w:highlight w:val="yellow"/>
                      <w:lang w:eastAsia="zh-CN"/>
                    </w:rPr>
                    <w:t>.</w:t>
                  </w:r>
                </w:p>
              </w:tc>
            </w:tr>
            <w:tr w:rsidR="00CB72E8" w:rsidRPr="00244FE1" w:rsidTr="00CB72E8">
              <w:tc>
                <w:tcPr>
                  <w:tcW w:w="851" w:type="dxa"/>
                  <w:vAlign w:val="center"/>
                </w:tcPr>
                <w:p w:rsidR="00CB72E8" w:rsidRPr="00CB72E8" w:rsidRDefault="00CB72E8" w:rsidP="006C197F">
                  <w:pPr>
                    <w:spacing w:before="0" w:after="200" w:line="276" w:lineRule="auto"/>
                    <w:jc w:val="left"/>
                    <w:rPr>
                      <w:rFonts w:asciiTheme="minorHAnsi" w:hAnsiTheme="minorHAnsi" w:cstheme="minorHAnsi"/>
                      <w:noProof/>
                      <w:sz w:val="20"/>
                      <w:lang w:eastAsia="fr-FR"/>
                    </w:rPr>
                  </w:pPr>
                </w:p>
              </w:tc>
              <w:tc>
                <w:tcPr>
                  <w:tcW w:w="9355" w:type="dxa"/>
                </w:tcPr>
                <w:p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rsidR="00531324" w:rsidRDefault="00531324" w:rsidP="000A121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76348" w:rsidRPr="00C6752F" w:rsidTr="00734965">
        <w:tc>
          <w:tcPr>
            <w:tcW w:w="10420" w:type="dxa"/>
            <w:shd w:val="clear" w:color="auto" w:fill="990033"/>
          </w:tcPr>
          <w:p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rsidTr="00856432">
        <w:tc>
          <w:tcPr>
            <w:tcW w:w="10420" w:type="dxa"/>
            <w:shd w:val="clear" w:color="auto" w:fill="FFFFFF" w:themeFill="background1"/>
          </w:tcPr>
          <w:p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rsidR="00856432" w:rsidRPr="00BB5EB0"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856432" w:rsidTr="00CA4AE5">
              <w:trPr>
                <w:trHeight w:val="489"/>
              </w:trPr>
              <w:tc>
                <w:tcPr>
                  <w:tcW w:w="2552" w:type="dxa"/>
                  <w:tcBorders>
                    <w:top w:val="single" w:sz="4" w:space="0" w:color="auto"/>
                    <w:left w:val="single" w:sz="4" w:space="0" w:color="auto"/>
                  </w:tcBorders>
                  <w:vAlign w:val="center"/>
                </w:tcPr>
                <w:p w:rsidR="00856432" w:rsidRPr="000A7509"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2020</w:t>
                  </w:r>
                </w:p>
              </w:tc>
              <w:tc>
                <w:tcPr>
                  <w:tcW w:w="2546"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2021</w:t>
                  </w:r>
                </w:p>
              </w:tc>
              <w:tc>
                <w:tcPr>
                  <w:tcW w:w="2546"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2022</w:t>
                  </w:r>
                </w:p>
              </w:tc>
            </w:tr>
            <w:tr w:rsidR="00856432" w:rsidTr="00CA4AE5">
              <w:trPr>
                <w:trHeight w:val="489"/>
              </w:trPr>
              <w:tc>
                <w:tcPr>
                  <w:tcW w:w="2552" w:type="dxa"/>
                  <w:vAlign w:val="center"/>
                </w:tcPr>
                <w:p w:rsidR="00856432" w:rsidRPr="00927F1F"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776348" w:rsidRPr="00F810BC" w:rsidRDefault="006C197F" w:rsidP="00F810BC">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856432" w:rsidRPr="00115F44">
              <w:rPr>
                <w:rFonts w:ascii="Arial Narrow" w:eastAsia="Times New Roman" w:hAnsi="Arial Narrow"/>
                <w:b/>
                <w:bCs w:val="0"/>
                <w:sz w:val="16"/>
                <w:szCs w:val="18"/>
                <w:lang w:eastAsia="zh-CN"/>
              </w:rPr>
              <w:t xml:space="preserve">(**) </w:t>
            </w:r>
            <w:r w:rsidR="00856432" w:rsidRPr="00D43836">
              <w:rPr>
                <w:rFonts w:ascii="Arial Narrow" w:eastAsia="Times New Roman" w:hAnsi="Arial Narrow"/>
                <w:b/>
                <w:bCs w:val="0"/>
                <w:sz w:val="16"/>
                <w:szCs w:val="18"/>
                <w:lang w:eastAsia="zh-CN"/>
              </w:rPr>
              <w:t>Le candidat</w:t>
            </w:r>
            <w:r w:rsidR="00856432">
              <w:rPr>
                <w:rFonts w:ascii="Arial Narrow" w:eastAsia="Times New Roman" w:hAnsi="Arial Narrow"/>
                <w:bCs w:val="0"/>
                <w:sz w:val="16"/>
                <w:szCs w:val="18"/>
                <w:lang w:eastAsia="zh-CN"/>
              </w:rPr>
              <w:t xml:space="preserve"> complète le tableau.</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C62F02">
        <w:tc>
          <w:tcPr>
            <w:tcW w:w="10420" w:type="dxa"/>
            <w:shd w:val="clear" w:color="auto" w:fill="990033"/>
          </w:tcPr>
          <w:p w:rsidR="007E44FA" w:rsidRPr="00C72623" w:rsidRDefault="009F6D05"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even" r:id="rId11"/>
      <w:footerReference w:type="default" r:id="rId12"/>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6E" w:rsidRDefault="00DC626E" w:rsidP="002B5FC8">
      <w:pPr>
        <w:spacing w:before="0"/>
      </w:pPr>
      <w:r>
        <w:separator/>
      </w:r>
    </w:p>
  </w:endnote>
  <w:endnote w:type="continuationSeparator" w:id="0">
    <w:p w:rsidR="00DC626E" w:rsidRDefault="00DC626E"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482" w:rsidRDefault="00996482">
    <w:pPr>
      <w:pStyle w:val="Pieddepage"/>
    </w:pPr>
  </w:p>
  <w:p w:rsidR="00000000" w:rsidRDefault="000B1D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2"/>
      <w:gridCol w:w="1423"/>
      <w:gridCol w:w="6521"/>
      <w:gridCol w:w="1134"/>
      <w:gridCol w:w="639"/>
    </w:tblGrid>
    <w:tr w:rsidR="009819DD" w:rsidRPr="00B636BE" w:rsidTr="00EF5934">
      <w:trPr>
        <w:trHeight w:val="279"/>
        <w:jc w:val="center"/>
      </w:trPr>
      <w:tc>
        <w:tcPr>
          <w:tcW w:w="562"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8" w:type="dxa"/>
          <w:gridSpan w:val="3"/>
          <w:tcBorders>
            <w:top w:val="single" w:sz="4" w:space="0" w:color="808080"/>
            <w:left w:val="single" w:sz="4" w:space="0" w:color="808080"/>
            <w:bottom w:val="single" w:sz="4" w:space="0" w:color="808080"/>
            <w:right w:val="single" w:sz="4" w:space="0" w:color="808080"/>
          </w:tcBorders>
          <w:vAlign w:val="center"/>
        </w:tcPr>
        <w:p w:rsidR="009819DD" w:rsidRPr="00EF5934" w:rsidRDefault="00EF5934" w:rsidP="00662714">
          <w:pPr>
            <w:tabs>
              <w:tab w:val="right" w:pos="9072"/>
            </w:tabs>
            <w:spacing w:before="0"/>
            <w:ind w:right="357"/>
            <w:jc w:val="center"/>
            <w:rPr>
              <w:rFonts w:ascii="Calibri" w:eastAsia="Times New Roman" w:hAnsi="Calibri" w:cs="Calibri"/>
              <w:b/>
              <w:sz w:val="18"/>
              <w:szCs w:val="18"/>
              <w:lang w:eastAsia="fr-FR"/>
            </w:rPr>
          </w:pPr>
          <w:bookmarkStart w:id="1" w:name="_Hlk141350733"/>
          <w:r w:rsidRPr="00EF5934">
            <w:rPr>
              <w:rFonts w:ascii="Calibri" w:hAnsi="Calibri" w:cs="Calibri"/>
              <w:sz w:val="18"/>
            </w:rPr>
            <w:t>Consultation n°2023-05-MGT-DPAM</w:t>
          </w:r>
          <w:r>
            <w:rPr>
              <w:rFonts w:ascii="Calibri" w:hAnsi="Calibri" w:cs="Calibri"/>
              <w:sz w:val="18"/>
            </w:rPr>
            <w:t xml:space="preserve"> -</w:t>
          </w:r>
          <w:r w:rsidRPr="00EF5934">
            <w:rPr>
              <w:rFonts w:ascii="Calibri" w:hAnsi="Calibri" w:cs="Calibri"/>
              <w:sz w:val="18"/>
            </w:rPr>
            <w:t xml:space="preserve"> </w:t>
          </w:r>
          <w:bookmarkEnd w:id="1"/>
          <w:r>
            <w:rPr>
              <w:rFonts w:ascii="Calibri" w:hAnsi="Calibri" w:cs="Calibri"/>
              <w:sz w:val="18"/>
            </w:rPr>
            <w:t>E</w:t>
          </w:r>
          <w:r w:rsidRPr="00EF5934">
            <w:rPr>
              <w:rFonts w:ascii="Calibri" w:hAnsi="Calibri" w:cs="Calibri"/>
              <w:sz w:val="18"/>
            </w:rPr>
            <w:t xml:space="preserve">tudes des fonds marins et des besoins techniques pour l’implantation d’ancrages écologiques dans les eaux intérieures aux abords des îles de Raiatea et </w:t>
          </w:r>
          <w:proofErr w:type="spellStart"/>
          <w:r w:rsidRPr="00EF5934">
            <w:rPr>
              <w:rFonts w:ascii="Calibri" w:hAnsi="Calibri" w:cs="Calibri"/>
              <w:sz w:val="18"/>
            </w:rPr>
            <w:t>Taha’a</w:t>
          </w:r>
          <w:proofErr w:type="spellEnd"/>
        </w:p>
      </w:tc>
      <w:tc>
        <w:tcPr>
          <w:tcW w:w="639"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rsidTr="00EF5934">
      <w:trPr>
        <w:trHeight w:val="133"/>
        <w:jc w:val="center"/>
      </w:trPr>
      <w:tc>
        <w:tcPr>
          <w:tcW w:w="562"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423"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6E" w:rsidRDefault="00DC626E" w:rsidP="002B5FC8">
      <w:pPr>
        <w:spacing w:before="0"/>
      </w:pPr>
      <w:r>
        <w:separator/>
      </w:r>
    </w:p>
  </w:footnote>
  <w:footnote w:type="continuationSeparator" w:id="0">
    <w:p w:rsidR="00DC626E" w:rsidRDefault="00DC626E"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EE0F7F" w:rsidRPr="00A76865" w:rsidRDefault="00EE0F7F"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 xml:space="preserve">pour </w:t>
      </w:r>
      <w:proofErr w:type="gramStart"/>
      <w:r w:rsidRPr="001C7F1D">
        <w:rPr>
          <w:rFonts w:asciiTheme="minorHAnsi" w:hAnsiTheme="minorHAnsi" w:cstheme="minorHAnsi"/>
          <w:sz w:val="13"/>
          <w:szCs w:val="15"/>
        </w:rPr>
        <w:t>les  procédures</w:t>
      </w:r>
      <w:proofErr w:type="gramEnd"/>
      <w:r w:rsidRPr="001C7F1D">
        <w:rPr>
          <w:rFonts w:asciiTheme="minorHAnsi" w:hAnsiTheme="minorHAnsi" w:cstheme="minorHAnsi"/>
          <w:sz w:val="13"/>
          <w:szCs w:val="15"/>
        </w:rPr>
        <w:t xml:space="preserve"> restreintes.</w:t>
      </w:r>
    </w:p>
  </w:footnote>
  <w:footnote w:id="5">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6">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7">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764522"/>
    <w:multiLevelType w:val="hybridMultilevel"/>
    <w:tmpl w:val="E2A45A52"/>
    <w:lvl w:ilvl="0" w:tplc="45926226">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5"/>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 w:numId="3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1DAA"/>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3BAB"/>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0E0"/>
    <w:rsid w:val="00370A70"/>
    <w:rsid w:val="0037281E"/>
    <w:rsid w:val="00374391"/>
    <w:rsid w:val="00375191"/>
    <w:rsid w:val="00386231"/>
    <w:rsid w:val="00390793"/>
    <w:rsid w:val="00390BBD"/>
    <w:rsid w:val="0039181A"/>
    <w:rsid w:val="00391BFC"/>
    <w:rsid w:val="00393589"/>
    <w:rsid w:val="00394510"/>
    <w:rsid w:val="00394730"/>
    <w:rsid w:val="003A32FF"/>
    <w:rsid w:val="003B066E"/>
    <w:rsid w:val="003B2816"/>
    <w:rsid w:val="003B2A7A"/>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1EF"/>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13A7"/>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318E"/>
    <w:rsid w:val="00655B7D"/>
    <w:rsid w:val="00660E02"/>
    <w:rsid w:val="00662714"/>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197F"/>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5F68"/>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611E"/>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96482"/>
    <w:rsid w:val="009A3413"/>
    <w:rsid w:val="009B35AF"/>
    <w:rsid w:val="009B5838"/>
    <w:rsid w:val="009B7184"/>
    <w:rsid w:val="009C31FF"/>
    <w:rsid w:val="009C7C42"/>
    <w:rsid w:val="009D50F0"/>
    <w:rsid w:val="009E1E3A"/>
    <w:rsid w:val="009E32DF"/>
    <w:rsid w:val="009E44B7"/>
    <w:rsid w:val="009E68F7"/>
    <w:rsid w:val="009E6DDE"/>
    <w:rsid w:val="009F4445"/>
    <w:rsid w:val="009F52D9"/>
    <w:rsid w:val="009F6D05"/>
    <w:rsid w:val="00A00496"/>
    <w:rsid w:val="00A02A31"/>
    <w:rsid w:val="00A10776"/>
    <w:rsid w:val="00A12685"/>
    <w:rsid w:val="00A12810"/>
    <w:rsid w:val="00A13106"/>
    <w:rsid w:val="00A173D6"/>
    <w:rsid w:val="00A209FD"/>
    <w:rsid w:val="00A21BED"/>
    <w:rsid w:val="00A21CB5"/>
    <w:rsid w:val="00A2361C"/>
    <w:rsid w:val="00A25D59"/>
    <w:rsid w:val="00A26274"/>
    <w:rsid w:val="00A264F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67E4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1DBD"/>
    <w:rsid w:val="00E427AF"/>
    <w:rsid w:val="00E45FC4"/>
    <w:rsid w:val="00E5201E"/>
    <w:rsid w:val="00E56C11"/>
    <w:rsid w:val="00E620A4"/>
    <w:rsid w:val="00E64F25"/>
    <w:rsid w:val="00E64F83"/>
    <w:rsid w:val="00E654CD"/>
    <w:rsid w:val="00E65A64"/>
    <w:rsid w:val="00E855BA"/>
    <w:rsid w:val="00E934E4"/>
    <w:rsid w:val="00E946FF"/>
    <w:rsid w:val="00E94CD4"/>
    <w:rsid w:val="00E962BB"/>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934"/>
    <w:rsid w:val="00EF5D2E"/>
    <w:rsid w:val="00F0211E"/>
    <w:rsid w:val="00F0216B"/>
    <w:rsid w:val="00F04C85"/>
    <w:rsid w:val="00F051BC"/>
    <w:rsid w:val="00F0649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10B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5DA29"/>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65318E"/>
    <w:rPr>
      <w:color w:val="605E5C"/>
      <w:shd w:val="clear" w:color="auto" w:fill="E1DFDD"/>
    </w:rPr>
  </w:style>
  <w:style w:type="paragraph" w:customStyle="1" w:styleId="-LettreSuiteORefPJGEDA">
    <w:name w:val="- Lettre:Suite O/Ref/PJ GEDA"/>
    <w:rsid w:val="0065318E"/>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Normal"/>
    <w:next w:val="-LettreSuiteORefPJGEDA"/>
    <w:rsid w:val="0065318E"/>
    <w:pPr>
      <w:overflowPunct w:val="0"/>
      <w:autoSpaceDE w:val="0"/>
      <w:autoSpaceDN w:val="0"/>
      <w:adjustRightInd w:val="0"/>
      <w:spacing w:before="80"/>
      <w:ind w:left="851" w:hanging="851"/>
      <w:textAlignment w:val="baseline"/>
    </w:pPr>
    <w:rPr>
      <w:rFonts w:eastAsia="Times New Roman" w:cs="Times New Roman"/>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ccueil.dpam@administration.gov.p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B5C2-FF89-45DE-9508-1B5BA5F4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1017</Words>
  <Characters>5598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Orama LEHARTEL</cp:lastModifiedBy>
  <cp:revision>3</cp:revision>
  <cp:lastPrinted>2020-01-28T00:26:00Z</cp:lastPrinted>
  <dcterms:created xsi:type="dcterms:W3CDTF">2023-07-27T23:14:00Z</dcterms:created>
  <dcterms:modified xsi:type="dcterms:W3CDTF">2023-07-27T23:30:00Z</dcterms:modified>
</cp:coreProperties>
</file>