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E94FF7" w:rsidRPr="003E42CC" w:rsidRDefault="00E94FF7" w:rsidP="00E94FF7">
            <w:pPr>
              <w:tabs>
                <w:tab w:val="left" w:pos="426"/>
                <w:tab w:val="left" w:pos="851"/>
              </w:tabs>
              <w:suppressAutoHyphens/>
              <w:rPr>
                <w:rFonts w:asciiTheme="minorHAnsi" w:eastAsia="Wingdings" w:hAnsiTheme="minorHAnsi" w:cstheme="minorHAnsi"/>
                <w:b/>
                <w:color w:val="990033"/>
                <w:sz w:val="18"/>
                <w:szCs w:val="18"/>
                <w:lang w:eastAsia="zh-CN"/>
              </w:rPr>
            </w:pPr>
            <w:r w:rsidRPr="003E42CC">
              <w:rPr>
                <w:rFonts w:asciiTheme="minorHAnsi" w:eastAsia="Wingdings" w:hAnsiTheme="minorHAnsi" w:cstheme="minorHAnsi"/>
                <w:b/>
                <w:color w:val="990033"/>
                <w:sz w:val="18"/>
                <w:szCs w:val="18"/>
                <w:lang w:eastAsia="zh-CN"/>
              </w:rPr>
              <w:t xml:space="preserve">A 1 - Désignation de l’acheteur public : </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La Polynésie française, représentée par </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Le Ministre des grands travaux, de l’équipement, en charge des transports aériens, terrestres et maritimes Bâtiment administratif A 2 – 5ème étage - Rue du Commandant </w:t>
            </w:r>
            <w:proofErr w:type="spellStart"/>
            <w:r w:rsidRPr="003E42CC">
              <w:rPr>
                <w:rFonts w:asciiTheme="minorHAnsi" w:eastAsia="Times New Roman" w:hAnsiTheme="minorHAnsi" w:cstheme="minorHAnsi"/>
                <w:sz w:val="18"/>
                <w:szCs w:val="18"/>
                <w:lang w:eastAsia="zh-CN"/>
              </w:rPr>
              <w:t>Destremeau</w:t>
            </w:r>
            <w:proofErr w:type="spellEnd"/>
            <w:r w:rsidRPr="003E42CC">
              <w:rPr>
                <w:rFonts w:asciiTheme="minorHAnsi" w:eastAsia="Times New Roman" w:hAnsiTheme="minorHAnsi" w:cstheme="minorHAnsi"/>
                <w:sz w:val="18"/>
                <w:szCs w:val="18"/>
                <w:lang w:eastAsia="zh-CN"/>
              </w:rPr>
              <w:t xml:space="preserve"> - Papeete</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Adresse postale : B.P. </w:t>
            </w:r>
            <w:proofErr w:type="gramStart"/>
            <w:r w:rsidRPr="003E42CC">
              <w:rPr>
                <w:rFonts w:asciiTheme="minorHAnsi" w:eastAsia="Times New Roman" w:hAnsiTheme="minorHAnsi" w:cstheme="minorHAnsi"/>
                <w:sz w:val="18"/>
                <w:szCs w:val="18"/>
                <w:lang w:eastAsia="zh-CN"/>
              </w:rPr>
              <w:t>2551  -</w:t>
            </w:r>
            <w:proofErr w:type="gramEnd"/>
            <w:r w:rsidRPr="003E42CC">
              <w:rPr>
                <w:rFonts w:asciiTheme="minorHAnsi" w:eastAsia="Times New Roman" w:hAnsiTheme="minorHAnsi" w:cstheme="minorHAnsi"/>
                <w:sz w:val="18"/>
                <w:szCs w:val="18"/>
                <w:lang w:eastAsia="zh-CN"/>
              </w:rPr>
              <w:t xml:space="preserve">  98713 PAPEETE  - TAHITI  - Polynésie française</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Téléphone :</w:t>
            </w:r>
            <w:r w:rsidRPr="003E42CC">
              <w:rPr>
                <w:rFonts w:asciiTheme="minorHAnsi" w:eastAsia="Times New Roman" w:hAnsiTheme="minorHAnsi" w:cstheme="minorHAnsi"/>
                <w:sz w:val="18"/>
                <w:szCs w:val="18"/>
                <w:lang w:eastAsia="zh-CN"/>
              </w:rPr>
              <w:tab/>
              <w:t>(689) 40 46 80 19</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Fax : </w:t>
            </w:r>
            <w:r w:rsidRPr="003E42CC">
              <w:rPr>
                <w:rFonts w:asciiTheme="minorHAnsi" w:eastAsia="Times New Roman" w:hAnsiTheme="minorHAnsi" w:cstheme="minorHAnsi"/>
                <w:sz w:val="18"/>
                <w:szCs w:val="18"/>
                <w:lang w:eastAsia="zh-CN"/>
              </w:rPr>
              <w:tab/>
              <w:t xml:space="preserve">            </w:t>
            </w:r>
            <w:proofErr w:type="gramStart"/>
            <w:r w:rsidRPr="003E42CC">
              <w:rPr>
                <w:rFonts w:asciiTheme="minorHAnsi" w:eastAsia="Times New Roman" w:hAnsiTheme="minorHAnsi" w:cstheme="minorHAnsi"/>
                <w:sz w:val="18"/>
                <w:szCs w:val="18"/>
                <w:lang w:eastAsia="zh-CN"/>
              </w:rPr>
              <w:t xml:space="preserve">   (</w:t>
            </w:r>
            <w:proofErr w:type="gramEnd"/>
            <w:r w:rsidRPr="003E42CC">
              <w:rPr>
                <w:rFonts w:asciiTheme="minorHAnsi" w:eastAsia="Times New Roman" w:hAnsiTheme="minorHAnsi" w:cstheme="minorHAnsi"/>
                <w:sz w:val="18"/>
                <w:szCs w:val="18"/>
                <w:lang w:eastAsia="zh-CN"/>
              </w:rPr>
              <w:t>689) 40 48 37 92</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Courriel :</w:t>
            </w:r>
            <w:r w:rsidRPr="003E42CC">
              <w:rPr>
                <w:rFonts w:asciiTheme="minorHAnsi" w:eastAsia="Times New Roman" w:hAnsiTheme="minorHAnsi" w:cstheme="minorHAnsi"/>
                <w:sz w:val="18"/>
                <w:szCs w:val="18"/>
                <w:lang w:eastAsia="zh-CN"/>
              </w:rPr>
              <w:tab/>
              <w:t xml:space="preserve">secretariat.mgt@gouvernement.pf  </w:t>
            </w:r>
          </w:p>
          <w:p w:rsidR="00E94FF7" w:rsidRPr="003E42CC" w:rsidRDefault="00E94FF7" w:rsidP="00E94FF7">
            <w:pPr>
              <w:suppressAutoHyphens/>
              <w:ind w:left="426" w:hanging="426"/>
              <w:rPr>
                <w:rFonts w:asciiTheme="minorHAnsi" w:eastAsia="Wingdings" w:hAnsiTheme="minorHAnsi" w:cstheme="minorHAnsi"/>
                <w:b/>
                <w:color w:val="990033"/>
                <w:sz w:val="18"/>
                <w:szCs w:val="18"/>
                <w:lang w:eastAsia="zh-CN"/>
              </w:rPr>
            </w:pPr>
            <w:r w:rsidRPr="003E42CC">
              <w:rPr>
                <w:rFonts w:asciiTheme="minorHAnsi" w:eastAsia="Wingdings" w:hAnsiTheme="minorHAnsi" w:cstheme="minorHAnsi"/>
                <w:b/>
                <w:color w:val="990033"/>
                <w:sz w:val="18"/>
                <w:szCs w:val="18"/>
                <w:lang w:eastAsia="zh-CN"/>
              </w:rPr>
              <w:t>A 2 – Personne habilitée à donner les renseignements prévus à l’article LP 413-4 du code polynésien</w:t>
            </w:r>
            <w:r w:rsidRPr="003E42CC">
              <w:rPr>
                <w:rFonts w:asciiTheme="minorHAnsi" w:eastAsia="Wingdings" w:hAnsiTheme="minorHAnsi" w:cstheme="minorHAnsi"/>
                <w:b/>
                <w:color w:val="990033"/>
                <w:sz w:val="18"/>
                <w:szCs w:val="18"/>
                <w:lang w:eastAsia="zh-CN"/>
              </w:rPr>
              <w:tab/>
            </w:r>
            <w:r w:rsidRPr="003E42CC">
              <w:rPr>
                <w:rFonts w:asciiTheme="minorHAnsi" w:eastAsia="Wingdings" w:hAnsiTheme="minorHAnsi" w:cstheme="minorHAnsi"/>
                <w:b/>
                <w:color w:val="990033"/>
                <w:sz w:val="18"/>
                <w:szCs w:val="18"/>
                <w:lang w:eastAsia="zh-CN"/>
              </w:rPr>
              <w:br/>
              <w:t xml:space="preserve"> des marchés publics </w:t>
            </w:r>
            <w:r w:rsidRPr="003E42CC">
              <w:rPr>
                <w:rFonts w:asciiTheme="minorHAnsi" w:eastAsia="Wingdings" w:hAnsiTheme="minorHAnsi" w:cstheme="minorHAnsi"/>
                <w:color w:val="990033"/>
                <w:sz w:val="18"/>
                <w:szCs w:val="18"/>
                <w:lang w:eastAsia="zh-CN"/>
              </w:rPr>
              <w:t>(nantissements ou cessions de créances)</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Mme Catherine ROCHETEAU</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Directrice des Affaires Maritimes Polynésiennes</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Immeuble SAT NUI, N°12, voie M, Fare Ute, Papeete</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Adresse postale : BP.9005 – 98716 – Pirae – TAHITI – Polynésie française</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Tel : + (689) 40.54.45.00</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Fax : + (689) 40.54.45.04</w:t>
            </w:r>
          </w:p>
          <w:p w:rsidR="00E94FF7" w:rsidRPr="003E42CC" w:rsidRDefault="00E94FF7" w:rsidP="00E94FF7">
            <w:pPr>
              <w:suppressAutoHyphens/>
              <w:spacing w:before="0"/>
              <w:rPr>
                <w:rFonts w:asciiTheme="minorHAnsi" w:eastAsia="Times New Roman" w:hAnsiTheme="minorHAnsi" w:cstheme="minorHAnsi"/>
                <w:color w:val="0000FF"/>
                <w:sz w:val="18"/>
                <w:szCs w:val="18"/>
                <w:u w:val="single"/>
                <w:lang w:eastAsia="fr-FR"/>
              </w:rPr>
            </w:pPr>
            <w:r w:rsidRPr="003E42CC">
              <w:rPr>
                <w:rFonts w:asciiTheme="minorHAnsi" w:eastAsia="Times New Roman" w:hAnsiTheme="minorHAnsi" w:cstheme="minorHAnsi"/>
                <w:sz w:val="18"/>
                <w:szCs w:val="18"/>
                <w:lang w:eastAsia="fr-FR"/>
              </w:rPr>
              <w:t xml:space="preserve">Courriel : </w:t>
            </w:r>
            <w:hyperlink r:id="rId12" w:history="1">
              <w:r w:rsidRPr="003E42CC">
                <w:rPr>
                  <w:rFonts w:asciiTheme="minorHAnsi" w:eastAsia="Times New Roman" w:hAnsiTheme="minorHAnsi" w:cstheme="minorHAnsi"/>
                  <w:color w:val="0000FF"/>
                  <w:sz w:val="18"/>
                  <w:szCs w:val="18"/>
                  <w:u w:val="single"/>
                  <w:lang w:eastAsia="fr-FR"/>
                </w:rPr>
                <w:t>accueil.dpam@administration.gov.pf</w:t>
              </w:r>
            </w:hyperlink>
          </w:p>
          <w:p w:rsidR="0079181B" w:rsidRPr="0079181B" w:rsidRDefault="0079181B" w:rsidP="00125BB7">
            <w:pPr>
              <w:suppressAutoHyphens/>
              <w:spacing w:before="0"/>
              <w:rPr>
                <w:rFonts w:asciiTheme="minorHAnsi" w:eastAsia="Times New Roman" w:hAnsiTheme="minorHAnsi" w:cstheme="minorHAnsi"/>
                <w:sz w:val="20"/>
                <w:szCs w:val="20"/>
                <w:lang w:eastAsia="zh-CN"/>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94FF7" w:rsidRPr="003E42CC" w:rsidRDefault="00E94FF7" w:rsidP="00E94FF7">
            <w:pPr>
              <w:spacing w:after="120"/>
              <w:rPr>
                <w:rFonts w:asciiTheme="minorHAnsi" w:hAnsiTheme="minorHAnsi" w:cstheme="minorHAnsi"/>
                <w:sz w:val="18"/>
                <w:szCs w:val="18"/>
              </w:rPr>
            </w:pPr>
            <w:bookmarkStart w:id="0" w:name="_Hlk74815444"/>
            <w:r w:rsidRPr="003E42CC">
              <w:rPr>
                <w:rFonts w:asciiTheme="minorHAnsi" w:hAnsiTheme="minorHAnsi" w:cstheme="minorHAnsi"/>
                <w:sz w:val="18"/>
                <w:szCs w:val="18"/>
              </w:rPr>
              <w:t xml:space="preserve">Marché AO n° 2025-02-MGT-DPAM : </w:t>
            </w:r>
            <w:r w:rsidRPr="003E42CC">
              <w:rPr>
                <w:rFonts w:asciiTheme="minorHAnsi" w:hAnsiTheme="minorHAnsi" w:cstheme="minorHAnsi"/>
                <w:color w:val="404040"/>
                <w:sz w:val="18"/>
                <w:szCs w:val="18"/>
              </w:rPr>
              <w:t>Travaux relatifs à la pose de dispositifs fixes d’amarrage à Taiarapu-Ouest et Raiatea-Tahaa</w:t>
            </w:r>
            <w:r w:rsidRPr="003E42CC">
              <w:rPr>
                <w:rFonts w:asciiTheme="minorHAnsi" w:hAnsiTheme="minorHAnsi" w:cstheme="minorHAnsi"/>
                <w:sz w:val="18"/>
                <w:szCs w:val="18"/>
              </w:rPr>
              <w:t>.</w:t>
            </w:r>
            <w:bookmarkEnd w:id="0"/>
          </w:p>
          <w:p w:rsidR="00E94FF7" w:rsidRPr="003E42CC" w:rsidRDefault="00E94FF7" w:rsidP="00E94FF7">
            <w:pPr>
              <w:spacing w:after="120"/>
              <w:rPr>
                <w:rFonts w:asciiTheme="minorHAnsi" w:hAnsiTheme="minorHAnsi" w:cstheme="minorHAnsi"/>
                <w:sz w:val="18"/>
                <w:szCs w:val="18"/>
              </w:rPr>
            </w:pPr>
            <w:r w:rsidRPr="003E42CC">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E94FF7" w:rsidRPr="003E42CC" w:rsidRDefault="00E94FF7" w:rsidP="00E94FF7">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proofErr w:type="gramStart"/>
            <w:r w:rsidRPr="003E42CC">
              <w:rPr>
                <w:rFonts w:asciiTheme="minorHAnsi" w:hAnsiTheme="minorHAnsi" w:cstheme="minorHAnsi"/>
                <w:sz w:val="18"/>
                <w:szCs w:val="18"/>
              </w:rPr>
              <w:t>lagon;</w:t>
            </w:r>
            <w:proofErr w:type="gramEnd"/>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proofErr w:type="gramStart"/>
            <w:r w:rsidRPr="003E42CC">
              <w:rPr>
                <w:rFonts w:asciiTheme="minorHAnsi" w:hAnsiTheme="minorHAnsi" w:cstheme="minorHAnsi"/>
                <w:sz w:val="18"/>
                <w:szCs w:val="18"/>
              </w:rPr>
              <w:t>mouillage;</w:t>
            </w:r>
            <w:proofErr w:type="gramEnd"/>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E94FF7" w:rsidRPr="003E42CC" w:rsidRDefault="00E94FF7" w:rsidP="00E94FF7">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Entretien et maintenance des installations.</w:t>
            </w:r>
          </w:p>
          <w:p w:rsidR="00E94FF7" w:rsidRPr="003E42CC" w:rsidRDefault="00E94FF7" w:rsidP="00E94FF7">
            <w:pPr>
              <w:spacing w:before="0"/>
              <w:rPr>
                <w:rFonts w:asciiTheme="minorHAnsi" w:hAnsiTheme="minorHAnsi" w:cstheme="minorHAnsi"/>
                <w:b/>
                <w:bCs/>
                <w:sz w:val="18"/>
                <w:szCs w:val="18"/>
                <w:lang w:eastAsia="fr-FR"/>
              </w:rPr>
            </w:pPr>
          </w:p>
          <w:p w:rsidR="0079181B" w:rsidRDefault="00E94FF7" w:rsidP="00E94FF7">
            <w:pPr>
              <w:spacing w:before="0"/>
              <w:rPr>
                <w:sz w:val="24"/>
              </w:rPr>
            </w:pPr>
            <w:bookmarkStart w:id="1" w:name="_GoBack"/>
            <w:r w:rsidRPr="003E42CC">
              <w:rPr>
                <w:rFonts w:asciiTheme="minorHAnsi" w:hAnsiTheme="minorHAnsi" w:cstheme="minorHAnsi"/>
                <w:b/>
                <w:bCs/>
                <w:sz w:val="18"/>
                <w:szCs w:val="18"/>
                <w:lang w:eastAsia="fr-FR"/>
              </w:rPr>
              <w:t>Lot n°</w:t>
            </w:r>
            <w:r>
              <w:rPr>
                <w:rFonts w:asciiTheme="minorHAnsi" w:hAnsiTheme="minorHAnsi" w:cstheme="minorHAnsi"/>
                <w:b/>
                <w:bCs/>
                <w:sz w:val="18"/>
                <w:szCs w:val="18"/>
                <w:lang w:eastAsia="fr-FR"/>
              </w:rPr>
              <w:t>2</w:t>
            </w:r>
            <w:r w:rsidRPr="003E42CC">
              <w:rPr>
                <w:rFonts w:asciiTheme="minorHAnsi" w:hAnsiTheme="minorHAnsi" w:cstheme="minorHAnsi"/>
                <w:b/>
                <w:bCs/>
                <w:sz w:val="18"/>
                <w:szCs w:val="18"/>
                <w:lang w:eastAsia="fr-FR"/>
              </w:rPr>
              <w:t xml:space="preserve"> : </w:t>
            </w:r>
            <w:r w:rsidRPr="003E42CC">
              <w:rPr>
                <w:rFonts w:asciiTheme="minorHAnsi" w:hAnsiTheme="minorHAnsi" w:cstheme="minorHAnsi"/>
                <w:b/>
                <w:color w:val="404040"/>
                <w:sz w:val="18"/>
                <w:szCs w:val="18"/>
              </w:rPr>
              <w:t xml:space="preserve">Travaux relatifs à la pose de dispositifs fixes d’amarrage dans les eaux intérieures de </w:t>
            </w:r>
            <w:r>
              <w:rPr>
                <w:rFonts w:asciiTheme="minorHAnsi" w:hAnsiTheme="minorHAnsi" w:cstheme="minorHAnsi"/>
                <w:b/>
                <w:color w:val="404040"/>
                <w:sz w:val="18"/>
                <w:szCs w:val="18"/>
              </w:rPr>
              <w:t>Raiatea et Tahaa.</w:t>
            </w:r>
          </w:p>
          <w:bookmarkEnd w:id="1"/>
          <w:p w:rsidR="00E43868" w:rsidRPr="00D11170" w:rsidRDefault="00E43868" w:rsidP="00646C03">
            <w:pPr>
              <w:pStyle w:val="TM3"/>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D1508D" w:rsidRDefault="008A747A" w:rsidP="004F5B6B">
      <w:pPr>
        <w:spacing w:before="0"/>
        <w:rPr>
          <w:rFonts w:asciiTheme="minorHAnsi" w:hAnsiTheme="minorHAnsi" w:cstheme="minorHAnsi"/>
          <w:b/>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2" w:name="CaseACocher111"/>
            <w:r w:rsidRPr="00F44DD3">
              <w:rPr>
                <w:rFonts w:asciiTheme="minorHAnsi" w:eastAsia="Times New Roman" w:hAnsiTheme="minorHAnsi" w:cstheme="minorHAnsi"/>
                <w:sz w:val="20"/>
                <w:szCs w:val="20"/>
                <w:lang w:eastAsia="zh-CN"/>
              </w:rPr>
              <w:instrText xml:space="preserve"> FORMCHECKBOX </w:instrText>
            </w:r>
            <w:r w:rsidR="00630C22">
              <w:rPr>
                <w:rFonts w:asciiTheme="minorHAnsi" w:eastAsia="Times New Roman" w:hAnsiTheme="minorHAnsi" w:cstheme="minorHAnsi"/>
                <w:sz w:val="20"/>
                <w:szCs w:val="20"/>
                <w:lang w:eastAsia="zh-CN"/>
              </w:rPr>
            </w:r>
            <w:r w:rsidR="00630C2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2"/>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630C22">
              <w:rPr>
                <w:rFonts w:asciiTheme="minorHAnsi" w:eastAsia="Times New Roman" w:hAnsiTheme="minorHAnsi" w:cstheme="minorHAnsi"/>
                <w:sz w:val="20"/>
                <w:szCs w:val="20"/>
                <w:lang w:eastAsia="zh-CN"/>
              </w:rPr>
            </w:r>
            <w:r w:rsidR="00630C22">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894D01" w:rsidRPr="00E94FF7" w:rsidRDefault="00AD17FD" w:rsidP="00E94FF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630C22">
              <w:rPr>
                <w:rFonts w:asciiTheme="minorHAnsi" w:eastAsia="Times New Roman" w:hAnsiTheme="minorHAnsi" w:cstheme="minorHAnsi"/>
                <w:sz w:val="20"/>
                <w:szCs w:val="20"/>
                <w:lang w:eastAsia="zh-CN"/>
              </w:rPr>
            </w:r>
            <w:r w:rsidR="00630C2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630C22">
              <w:rPr>
                <w:rFonts w:asciiTheme="minorHAnsi" w:eastAsia="Times New Roman" w:hAnsiTheme="minorHAnsi" w:cstheme="minorHAnsi"/>
                <w:sz w:val="20"/>
                <w:szCs w:val="20"/>
                <w:lang w:eastAsia="zh-CN"/>
              </w:rPr>
            </w:r>
            <w:r w:rsidR="00630C22">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D1508D">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432" w:rsidRDefault="00C45432" w:rsidP="002B5FC8">
      <w:pPr>
        <w:spacing w:before="0"/>
      </w:pPr>
      <w:r>
        <w:separator/>
      </w:r>
    </w:p>
  </w:endnote>
  <w:endnote w:type="continuationSeparator" w:id="0">
    <w:p w:rsidR="00C45432" w:rsidRDefault="00C4543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E94FF7" w:rsidP="00C0734C">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 fixes d’amarrage à Taiarapu-Ouest et Raiatea-Tahaa</w:t>
          </w:r>
          <w:r>
            <w:rPr>
              <w:rFonts w:ascii="Arial Narrow" w:hAnsi="Arial Narrow" w:cs="Calibri Light"/>
              <w:b/>
              <w:sz w:val="18"/>
              <w:szCs w:val="18"/>
            </w:rPr>
            <w:t xml:space="preserve"> - LOT 2</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432" w:rsidRDefault="00C45432" w:rsidP="002B5FC8">
      <w:pPr>
        <w:spacing w:before="0"/>
      </w:pPr>
      <w:r>
        <w:separator/>
      </w:r>
    </w:p>
  </w:footnote>
  <w:footnote w:type="continuationSeparator" w:id="0">
    <w:p w:rsidR="00C45432" w:rsidRDefault="00C45432"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9"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5"/>
  </w:num>
  <w:num w:numId="18">
    <w:abstractNumId w:val="28"/>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7"/>
  </w:num>
  <w:num w:numId="27">
    <w:abstractNumId w:val="19"/>
  </w:num>
  <w:num w:numId="28">
    <w:abstractNumId w:val="29"/>
  </w:num>
  <w:num w:numId="29">
    <w:abstractNumId w:val="6"/>
  </w:num>
  <w:num w:numId="30">
    <w:abstractNumId w:val="24"/>
  </w:num>
  <w:num w:numId="3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876BC"/>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0C22"/>
    <w:rsid w:val="0063263F"/>
    <w:rsid w:val="00637984"/>
    <w:rsid w:val="006400ED"/>
    <w:rsid w:val="0064038B"/>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9181B"/>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9767C"/>
    <w:rsid w:val="009E42ED"/>
    <w:rsid w:val="009E68F7"/>
    <w:rsid w:val="009E6DDE"/>
    <w:rsid w:val="009F7119"/>
    <w:rsid w:val="00A0044B"/>
    <w:rsid w:val="00A049ED"/>
    <w:rsid w:val="00A11884"/>
    <w:rsid w:val="00A12D87"/>
    <w:rsid w:val="00A13106"/>
    <w:rsid w:val="00A1311E"/>
    <w:rsid w:val="00A209FD"/>
    <w:rsid w:val="00A21BED"/>
    <w:rsid w:val="00A21CB5"/>
    <w:rsid w:val="00A24901"/>
    <w:rsid w:val="00A26D46"/>
    <w:rsid w:val="00A305B5"/>
    <w:rsid w:val="00A467D9"/>
    <w:rsid w:val="00A46E8A"/>
    <w:rsid w:val="00A47070"/>
    <w:rsid w:val="00A500FE"/>
    <w:rsid w:val="00A5397D"/>
    <w:rsid w:val="00A629F1"/>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45432"/>
    <w:rsid w:val="00C718E6"/>
    <w:rsid w:val="00C754B4"/>
    <w:rsid w:val="00C75B7E"/>
    <w:rsid w:val="00C773B4"/>
    <w:rsid w:val="00C84B0D"/>
    <w:rsid w:val="00C90234"/>
    <w:rsid w:val="00C918E3"/>
    <w:rsid w:val="00CA42E8"/>
    <w:rsid w:val="00CB42F4"/>
    <w:rsid w:val="00CB642C"/>
    <w:rsid w:val="00CB7A22"/>
    <w:rsid w:val="00CC7404"/>
    <w:rsid w:val="00CD0D50"/>
    <w:rsid w:val="00CD5420"/>
    <w:rsid w:val="00CD6C33"/>
    <w:rsid w:val="00CE6D4E"/>
    <w:rsid w:val="00D03A8E"/>
    <w:rsid w:val="00D11170"/>
    <w:rsid w:val="00D1508D"/>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80354"/>
    <w:rsid w:val="00E92C71"/>
    <w:rsid w:val="00E94FF7"/>
    <w:rsid w:val="00E961EE"/>
    <w:rsid w:val="00E96DCF"/>
    <w:rsid w:val="00EA77BD"/>
    <w:rsid w:val="00EB4791"/>
    <w:rsid w:val="00EC0698"/>
    <w:rsid w:val="00ED001A"/>
    <w:rsid w:val="00ED0B9D"/>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B2AA5"/>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49555"/>
  <w15:docId w15:val="{141452CB-6756-4A5A-B992-A0DECA34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paragraph" w:styleId="NormalWeb">
    <w:name w:val="Normal (Web)"/>
    <w:basedOn w:val="Normal"/>
    <w:uiPriority w:val="99"/>
    <w:rsid w:val="0079181B"/>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79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ueil.dpam@administration.gov.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5C7B-2E88-4CDA-9727-A6F66D46C3C4}">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AC707C31-9592-44EA-B8B3-C197E547B413}">
  <ds:schemaRefs>
    <ds:schemaRef ds:uri="http://schemas.microsoft.com/sharepoint/v3/contenttype/forms"/>
  </ds:schemaRefs>
</ds:datastoreItem>
</file>

<file path=customXml/itemProps3.xml><?xml version="1.0" encoding="utf-8"?>
<ds:datastoreItem xmlns:ds="http://schemas.openxmlformats.org/officeDocument/2006/customXml" ds:itemID="{A745E8B0-0F61-4305-B1C9-1D356AB6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19DCF-8A30-4F07-BC5F-4086DC5F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1008</Words>
  <Characters>5549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5</cp:revision>
  <cp:lastPrinted>2018-03-29T21:32:00Z</cp:lastPrinted>
  <dcterms:created xsi:type="dcterms:W3CDTF">2024-12-27T20:14:00Z</dcterms:created>
  <dcterms:modified xsi:type="dcterms:W3CDTF">2025-02-28T23:33:00Z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