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0C758E">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8E2FA6" w:rsidRPr="005A1DF7" w:rsidRDefault="00944571" w:rsidP="008E2FA6">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xml:space="preserve">. </w:t>
      </w:r>
    </w:p>
    <w:p w:rsidR="00501E1F" w:rsidRDefault="00BE3AF7" w:rsidP="000E0A62">
      <w:pPr>
        <w:pStyle w:val="Corpsdetexte2"/>
        <w:spacing w:after="120"/>
        <w:rPr>
          <w:rFonts w:ascii="Arial Narrow" w:hAnsi="Arial Narrow"/>
          <w:szCs w:val="19"/>
        </w:rPr>
      </w:pPr>
      <w:r w:rsidRPr="005A1DF7">
        <w:rPr>
          <w:rFonts w:ascii="Arial Narrow" w:hAnsi="Arial Narrow"/>
          <w:szCs w:val="19"/>
        </w:rPr>
        <w:t>La notification du marché public ou de l’accord-cadre vaut acceptation du sous-traitant et agrément de ses conditions de paiement.</w:t>
      </w:r>
      <w:r>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E94FF7" w:rsidRPr="003E42CC" w:rsidRDefault="00E94FF7" w:rsidP="00E94FF7">
            <w:pPr>
              <w:tabs>
                <w:tab w:val="left" w:pos="426"/>
                <w:tab w:val="left" w:pos="851"/>
              </w:tabs>
              <w:suppressAutoHyphens/>
              <w:rPr>
                <w:rFonts w:asciiTheme="minorHAnsi" w:eastAsia="Wingdings" w:hAnsiTheme="minorHAnsi" w:cstheme="minorHAnsi"/>
                <w:b/>
                <w:color w:val="990033"/>
                <w:sz w:val="18"/>
                <w:szCs w:val="18"/>
                <w:lang w:eastAsia="zh-CN"/>
              </w:rPr>
            </w:pPr>
            <w:r w:rsidRPr="003E42CC">
              <w:rPr>
                <w:rFonts w:asciiTheme="minorHAnsi" w:eastAsia="Wingdings" w:hAnsiTheme="minorHAnsi" w:cstheme="minorHAnsi"/>
                <w:b/>
                <w:color w:val="990033"/>
                <w:sz w:val="18"/>
                <w:szCs w:val="18"/>
                <w:lang w:eastAsia="zh-CN"/>
              </w:rPr>
              <w:t xml:space="preserve">A 1 - Désignation de l’acheteur public : </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 xml:space="preserve">La Polynésie française, représentée par </w:t>
            </w:r>
          </w:p>
          <w:p w:rsidR="00E6768F"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 xml:space="preserve">Le Ministre des grands travaux, de l’équipement, en charge des transports aériens, terrestres et maritimes </w:t>
            </w:r>
            <w:r w:rsidR="00E6768F">
              <w:rPr>
                <w:rFonts w:asciiTheme="minorHAnsi" w:eastAsia="Times New Roman" w:hAnsiTheme="minorHAnsi" w:cstheme="minorHAnsi"/>
                <w:sz w:val="18"/>
                <w:szCs w:val="18"/>
                <w:lang w:eastAsia="zh-CN"/>
              </w:rPr>
              <w:t>et de la décentralisation</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 xml:space="preserve">Bâtiment administratif A 2 – 5ème étage - Rue du Commandant </w:t>
            </w:r>
            <w:proofErr w:type="spellStart"/>
            <w:r w:rsidRPr="003E42CC">
              <w:rPr>
                <w:rFonts w:asciiTheme="minorHAnsi" w:eastAsia="Times New Roman" w:hAnsiTheme="minorHAnsi" w:cstheme="minorHAnsi"/>
                <w:sz w:val="18"/>
                <w:szCs w:val="18"/>
                <w:lang w:eastAsia="zh-CN"/>
              </w:rPr>
              <w:t>Destremeau</w:t>
            </w:r>
            <w:proofErr w:type="spellEnd"/>
            <w:r w:rsidRPr="003E42CC">
              <w:rPr>
                <w:rFonts w:asciiTheme="minorHAnsi" w:eastAsia="Times New Roman" w:hAnsiTheme="minorHAnsi" w:cstheme="minorHAnsi"/>
                <w:sz w:val="18"/>
                <w:szCs w:val="18"/>
                <w:lang w:eastAsia="zh-CN"/>
              </w:rPr>
              <w:t xml:space="preserve"> - Papeete</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 xml:space="preserve">Adresse postale : B.P. </w:t>
            </w:r>
            <w:proofErr w:type="gramStart"/>
            <w:r w:rsidRPr="003E42CC">
              <w:rPr>
                <w:rFonts w:asciiTheme="minorHAnsi" w:eastAsia="Times New Roman" w:hAnsiTheme="minorHAnsi" w:cstheme="minorHAnsi"/>
                <w:sz w:val="18"/>
                <w:szCs w:val="18"/>
                <w:lang w:eastAsia="zh-CN"/>
              </w:rPr>
              <w:t>2551  -</w:t>
            </w:r>
            <w:proofErr w:type="gramEnd"/>
            <w:r w:rsidRPr="003E42CC">
              <w:rPr>
                <w:rFonts w:asciiTheme="minorHAnsi" w:eastAsia="Times New Roman" w:hAnsiTheme="minorHAnsi" w:cstheme="minorHAnsi"/>
                <w:sz w:val="18"/>
                <w:szCs w:val="18"/>
                <w:lang w:eastAsia="zh-CN"/>
              </w:rPr>
              <w:t xml:space="preserve">  98713 PAPEETE  - TAHITI  - Polynésie française</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Téléphone :</w:t>
            </w:r>
            <w:r w:rsidRPr="003E42CC">
              <w:rPr>
                <w:rFonts w:asciiTheme="minorHAnsi" w:eastAsia="Times New Roman" w:hAnsiTheme="minorHAnsi" w:cstheme="minorHAnsi"/>
                <w:sz w:val="18"/>
                <w:szCs w:val="18"/>
                <w:lang w:eastAsia="zh-CN"/>
              </w:rPr>
              <w:tab/>
              <w:t>(689) 40 46 80 19</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 xml:space="preserve">Fax : </w:t>
            </w:r>
            <w:r w:rsidRPr="003E42CC">
              <w:rPr>
                <w:rFonts w:asciiTheme="minorHAnsi" w:eastAsia="Times New Roman" w:hAnsiTheme="minorHAnsi" w:cstheme="minorHAnsi"/>
                <w:sz w:val="18"/>
                <w:szCs w:val="18"/>
                <w:lang w:eastAsia="zh-CN"/>
              </w:rPr>
              <w:tab/>
              <w:t xml:space="preserve">            </w:t>
            </w:r>
            <w:proofErr w:type="gramStart"/>
            <w:r w:rsidRPr="003E42CC">
              <w:rPr>
                <w:rFonts w:asciiTheme="minorHAnsi" w:eastAsia="Times New Roman" w:hAnsiTheme="minorHAnsi" w:cstheme="minorHAnsi"/>
                <w:sz w:val="18"/>
                <w:szCs w:val="18"/>
                <w:lang w:eastAsia="zh-CN"/>
              </w:rPr>
              <w:t xml:space="preserve">   (</w:t>
            </w:r>
            <w:proofErr w:type="gramEnd"/>
            <w:r w:rsidRPr="003E42CC">
              <w:rPr>
                <w:rFonts w:asciiTheme="minorHAnsi" w:eastAsia="Times New Roman" w:hAnsiTheme="minorHAnsi" w:cstheme="minorHAnsi"/>
                <w:sz w:val="18"/>
                <w:szCs w:val="18"/>
                <w:lang w:eastAsia="zh-CN"/>
              </w:rPr>
              <w:t>689) 40 48 37 92</w:t>
            </w:r>
          </w:p>
          <w:p w:rsidR="00E94FF7" w:rsidRPr="003E42CC" w:rsidRDefault="00E94FF7" w:rsidP="00E94FF7">
            <w:pPr>
              <w:suppressAutoHyphens/>
              <w:spacing w:before="0"/>
              <w:rPr>
                <w:rFonts w:asciiTheme="minorHAnsi" w:eastAsia="Times New Roman" w:hAnsiTheme="minorHAnsi" w:cstheme="minorHAnsi"/>
                <w:sz w:val="18"/>
                <w:szCs w:val="18"/>
                <w:lang w:eastAsia="zh-CN"/>
              </w:rPr>
            </w:pPr>
            <w:r w:rsidRPr="003E42CC">
              <w:rPr>
                <w:rFonts w:asciiTheme="minorHAnsi" w:eastAsia="Times New Roman" w:hAnsiTheme="minorHAnsi" w:cstheme="minorHAnsi"/>
                <w:sz w:val="18"/>
                <w:szCs w:val="18"/>
                <w:lang w:eastAsia="zh-CN"/>
              </w:rPr>
              <w:t>Courriel :</w:t>
            </w:r>
            <w:r w:rsidRPr="003E42CC">
              <w:rPr>
                <w:rFonts w:asciiTheme="minorHAnsi" w:eastAsia="Times New Roman" w:hAnsiTheme="minorHAnsi" w:cstheme="minorHAnsi"/>
                <w:sz w:val="18"/>
                <w:szCs w:val="18"/>
                <w:lang w:eastAsia="zh-CN"/>
              </w:rPr>
              <w:tab/>
              <w:t xml:space="preserve">secretariat.mgt@gouvernement.pf  </w:t>
            </w:r>
          </w:p>
          <w:p w:rsidR="00E94FF7" w:rsidRPr="003E42CC" w:rsidRDefault="00E94FF7" w:rsidP="00E94FF7">
            <w:pPr>
              <w:suppressAutoHyphens/>
              <w:ind w:left="426" w:hanging="426"/>
              <w:rPr>
                <w:rFonts w:asciiTheme="minorHAnsi" w:eastAsia="Wingdings" w:hAnsiTheme="minorHAnsi" w:cstheme="minorHAnsi"/>
                <w:b/>
                <w:color w:val="990033"/>
                <w:sz w:val="18"/>
                <w:szCs w:val="18"/>
                <w:lang w:eastAsia="zh-CN"/>
              </w:rPr>
            </w:pPr>
            <w:r w:rsidRPr="003E42CC">
              <w:rPr>
                <w:rFonts w:asciiTheme="minorHAnsi" w:eastAsia="Wingdings" w:hAnsiTheme="minorHAnsi" w:cstheme="minorHAnsi"/>
                <w:b/>
                <w:color w:val="990033"/>
                <w:sz w:val="18"/>
                <w:szCs w:val="18"/>
                <w:lang w:eastAsia="zh-CN"/>
              </w:rPr>
              <w:t xml:space="preserve">A 2 – Personne habilitée à donner les renseignements prévus à l’article LP 413-4 du code polynésien des marchés publics </w:t>
            </w:r>
            <w:r w:rsidRPr="003E42CC">
              <w:rPr>
                <w:rFonts w:asciiTheme="minorHAnsi" w:eastAsia="Wingdings" w:hAnsiTheme="minorHAnsi" w:cstheme="minorHAnsi"/>
                <w:color w:val="990033"/>
                <w:sz w:val="18"/>
                <w:szCs w:val="18"/>
                <w:lang w:eastAsia="zh-CN"/>
              </w:rPr>
              <w:t>(nantissements ou cessions de créances)</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Mme Catherine ROCHETEAU</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Directrice des Affaires Maritimes Polynésiennes</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Immeuble SAT NUI, N°12, voie M, Fare Ute, Papeete</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Adresse postale : BP.9005 – 98716 – Pirae – TAHITI – Polynésie française</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Tel : + (689) 40.54.45.00</w:t>
            </w:r>
          </w:p>
          <w:p w:rsidR="00E94FF7" w:rsidRPr="003E42CC" w:rsidRDefault="00E94FF7" w:rsidP="00E94FF7">
            <w:pPr>
              <w:spacing w:before="0"/>
              <w:rPr>
                <w:rFonts w:asciiTheme="minorHAnsi" w:eastAsia="Times New Roman" w:hAnsiTheme="minorHAnsi" w:cstheme="minorHAnsi"/>
                <w:sz w:val="18"/>
                <w:szCs w:val="18"/>
                <w:lang w:eastAsia="fr-FR"/>
              </w:rPr>
            </w:pPr>
            <w:r w:rsidRPr="003E42CC">
              <w:rPr>
                <w:rFonts w:asciiTheme="minorHAnsi" w:eastAsia="Times New Roman" w:hAnsiTheme="minorHAnsi" w:cstheme="minorHAnsi"/>
                <w:sz w:val="18"/>
                <w:szCs w:val="18"/>
                <w:lang w:eastAsia="fr-FR"/>
              </w:rPr>
              <w:t>Fax : + (689) 40.54.45.04</w:t>
            </w:r>
          </w:p>
          <w:p w:rsidR="00E94FF7" w:rsidRPr="003E42CC" w:rsidRDefault="00E94FF7" w:rsidP="00E94FF7">
            <w:pPr>
              <w:suppressAutoHyphens/>
              <w:spacing w:before="0"/>
              <w:rPr>
                <w:rFonts w:asciiTheme="minorHAnsi" w:eastAsia="Times New Roman" w:hAnsiTheme="minorHAnsi" w:cstheme="minorHAnsi"/>
                <w:color w:val="0000FF"/>
                <w:sz w:val="18"/>
                <w:szCs w:val="18"/>
                <w:u w:val="single"/>
                <w:lang w:eastAsia="fr-FR"/>
              </w:rPr>
            </w:pPr>
            <w:r w:rsidRPr="003E42CC">
              <w:rPr>
                <w:rFonts w:asciiTheme="minorHAnsi" w:eastAsia="Times New Roman" w:hAnsiTheme="minorHAnsi" w:cstheme="minorHAnsi"/>
                <w:sz w:val="18"/>
                <w:szCs w:val="18"/>
                <w:lang w:eastAsia="fr-FR"/>
              </w:rPr>
              <w:t xml:space="preserve">Courriel : </w:t>
            </w:r>
            <w:hyperlink r:id="rId12" w:history="1">
              <w:r w:rsidRPr="003E42CC">
                <w:rPr>
                  <w:rFonts w:asciiTheme="minorHAnsi" w:eastAsia="Times New Roman" w:hAnsiTheme="minorHAnsi" w:cstheme="minorHAnsi"/>
                  <w:color w:val="0000FF"/>
                  <w:sz w:val="18"/>
                  <w:szCs w:val="18"/>
                  <w:u w:val="single"/>
                  <w:lang w:eastAsia="fr-FR"/>
                </w:rPr>
                <w:t>accueil.dpam@administration.gov.pf</w:t>
              </w:r>
            </w:hyperlink>
          </w:p>
          <w:p w:rsidR="0079181B" w:rsidRPr="0079181B" w:rsidRDefault="0079181B" w:rsidP="00125BB7">
            <w:pPr>
              <w:suppressAutoHyphens/>
              <w:spacing w:before="0"/>
              <w:rPr>
                <w:rFonts w:asciiTheme="minorHAnsi" w:eastAsia="Times New Roman" w:hAnsiTheme="minorHAnsi" w:cstheme="minorHAnsi"/>
                <w:sz w:val="20"/>
                <w:szCs w:val="20"/>
                <w:lang w:eastAsia="zh-CN"/>
              </w:rPr>
            </w:pPr>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E94FF7" w:rsidRPr="00E6768F" w:rsidRDefault="00E94FF7" w:rsidP="00E94FF7">
            <w:pPr>
              <w:spacing w:after="120"/>
              <w:rPr>
                <w:rFonts w:asciiTheme="minorHAnsi" w:hAnsiTheme="minorHAnsi" w:cstheme="minorHAnsi"/>
                <w:sz w:val="18"/>
                <w:szCs w:val="18"/>
              </w:rPr>
            </w:pPr>
            <w:bookmarkStart w:id="0" w:name="_Hlk74815444"/>
            <w:r w:rsidRPr="00E6768F">
              <w:rPr>
                <w:rFonts w:asciiTheme="minorHAnsi" w:hAnsiTheme="minorHAnsi" w:cstheme="minorHAnsi"/>
                <w:sz w:val="18"/>
                <w:szCs w:val="18"/>
              </w:rPr>
              <w:t>Marché AO n° 2025-0</w:t>
            </w:r>
            <w:r w:rsidR="00F9414F" w:rsidRPr="00E6768F">
              <w:rPr>
                <w:rFonts w:asciiTheme="minorHAnsi" w:hAnsiTheme="minorHAnsi" w:cstheme="minorHAnsi"/>
                <w:sz w:val="18"/>
                <w:szCs w:val="18"/>
              </w:rPr>
              <w:t>3</w:t>
            </w:r>
            <w:r w:rsidRPr="00E6768F">
              <w:rPr>
                <w:rFonts w:asciiTheme="minorHAnsi" w:hAnsiTheme="minorHAnsi" w:cstheme="minorHAnsi"/>
                <w:sz w:val="18"/>
                <w:szCs w:val="18"/>
              </w:rPr>
              <w:t>-MGT-DPAM : Travaux relatifs à la pose de dispositifs fixes d’amarrage à Raiatea-Tahaa.</w:t>
            </w:r>
            <w:bookmarkEnd w:id="0"/>
          </w:p>
          <w:p w:rsidR="00E94FF7" w:rsidRPr="00E6768F" w:rsidRDefault="00E94FF7" w:rsidP="00E94FF7">
            <w:pPr>
              <w:spacing w:after="120"/>
              <w:rPr>
                <w:rFonts w:asciiTheme="minorHAnsi" w:hAnsiTheme="minorHAnsi" w:cstheme="minorHAnsi"/>
                <w:sz w:val="18"/>
                <w:szCs w:val="18"/>
              </w:rPr>
            </w:pPr>
            <w:r w:rsidRPr="00E6768F">
              <w:rPr>
                <w:rFonts w:asciiTheme="minorHAnsi" w:hAnsiTheme="minorHAnsi" w:cstheme="minorHAnsi"/>
                <w:sz w:val="18"/>
                <w:szCs w:val="18"/>
              </w:rPr>
              <w:t>Dans le cadre de la création des zones de mouillage réglementées, qui répond aux enjeux de régulation de l’utilisation du domaine public maritime, la Polynésie Française s’engage à mettre à disposition des usagers de la mer sur les espaces concernés des installations d’amarrage par ancrages écologiques ou adaptés selon la typologie de navires. La mise en place des zones dédiées au mouillage s’accompagnera de l’interdiction de mouiller l’ancre à l’extérieur du périmètre défini et ce afin de limiter les impacts de l’ancrage en protégeant l’environnement marin.</w:t>
            </w:r>
          </w:p>
          <w:p w:rsidR="00E94FF7" w:rsidRPr="003E42CC" w:rsidRDefault="00E94FF7" w:rsidP="00E94FF7">
            <w:pPr>
              <w:rPr>
                <w:rFonts w:asciiTheme="minorHAnsi" w:hAnsiTheme="minorHAnsi" w:cstheme="minorHAnsi"/>
                <w:sz w:val="18"/>
                <w:szCs w:val="18"/>
              </w:rPr>
            </w:pPr>
            <w:r w:rsidRPr="003E42CC">
              <w:rPr>
                <w:rFonts w:asciiTheme="minorHAnsi" w:hAnsiTheme="minorHAnsi" w:cstheme="minorHAnsi"/>
                <w:sz w:val="18"/>
                <w:szCs w:val="18"/>
              </w:rPr>
              <w:t>Les objectifs des opérations projetées sont :</w:t>
            </w:r>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sécurité maritime, en position statique ou dynamique ;</w:t>
            </w:r>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Garantir la régulation harmonieuse de l’utilisation du domaine public maritime ;</w:t>
            </w:r>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Installer des dispositifs fixes d’amarrage écologiques ou adaptés dans les zones définies du </w:t>
            </w:r>
            <w:r w:rsidR="00E6768F" w:rsidRPr="003E42CC">
              <w:rPr>
                <w:rFonts w:asciiTheme="minorHAnsi" w:hAnsiTheme="minorHAnsi" w:cstheme="minorHAnsi"/>
                <w:sz w:val="18"/>
                <w:szCs w:val="18"/>
              </w:rPr>
              <w:t>lagon ;</w:t>
            </w:r>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Préserver la faune et la flore marine, et plus généralement l’ensemble de l’environnement marin de l’impact des ancres de navires ;</w:t>
            </w:r>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 xml:space="preserve">Améliorer le confort, la sécurité et l’accueil des visiteurs et usagers des zones dédiées au </w:t>
            </w:r>
            <w:bookmarkStart w:id="1" w:name="_GoBack"/>
            <w:bookmarkEnd w:id="1"/>
            <w:r w:rsidR="00E6768F" w:rsidRPr="003E42CC">
              <w:rPr>
                <w:rFonts w:asciiTheme="minorHAnsi" w:hAnsiTheme="minorHAnsi" w:cstheme="minorHAnsi"/>
                <w:sz w:val="18"/>
                <w:szCs w:val="18"/>
              </w:rPr>
              <w:t>mouillage ;</w:t>
            </w:r>
          </w:p>
          <w:p w:rsidR="00E94FF7" w:rsidRPr="003E42CC" w:rsidRDefault="00E94FF7" w:rsidP="00E94FF7">
            <w:pPr>
              <w:pStyle w:val="Paragraphedeliste"/>
              <w:numPr>
                <w:ilvl w:val="0"/>
                <w:numId w:val="30"/>
              </w:numPr>
              <w:spacing w:before="0"/>
              <w:ind w:left="1267"/>
              <w:contextualSpacing w:val="0"/>
              <w:rPr>
                <w:rFonts w:asciiTheme="minorHAnsi" w:hAnsiTheme="minorHAnsi" w:cstheme="minorHAnsi"/>
                <w:sz w:val="18"/>
                <w:szCs w:val="18"/>
              </w:rPr>
            </w:pPr>
            <w:r w:rsidRPr="003E42CC">
              <w:rPr>
                <w:rFonts w:asciiTheme="minorHAnsi" w:hAnsiTheme="minorHAnsi" w:cstheme="minorHAnsi"/>
                <w:sz w:val="18"/>
                <w:szCs w:val="18"/>
              </w:rPr>
              <w:t>Améliorer la visibilité des zones sensibles réglementées, les protéger plus efficacement et sensibiliser l’ensemble des usagers à la préservation de l’environnement marin.</w:t>
            </w:r>
          </w:p>
          <w:p w:rsidR="00E94FF7" w:rsidRPr="003E42CC" w:rsidRDefault="00E94FF7" w:rsidP="00E94FF7">
            <w:pPr>
              <w:ind w:left="-57"/>
              <w:rPr>
                <w:rFonts w:asciiTheme="minorHAnsi" w:hAnsiTheme="minorHAnsi" w:cstheme="minorHAnsi"/>
                <w:sz w:val="18"/>
                <w:szCs w:val="18"/>
              </w:rPr>
            </w:pPr>
            <w:r w:rsidRPr="003E42CC">
              <w:rPr>
                <w:rFonts w:asciiTheme="minorHAnsi" w:hAnsiTheme="minorHAnsi" w:cstheme="minorHAnsi"/>
                <w:sz w:val="18"/>
                <w:szCs w:val="18"/>
              </w:rPr>
              <w:t>Le projet global d’installation de mouillages comporte plusieurs étapes clés :</w:t>
            </w:r>
          </w:p>
          <w:p w:rsidR="00E94FF7" w:rsidRPr="003E42CC" w:rsidRDefault="00E94FF7" w:rsidP="00E94FF7">
            <w:pPr>
              <w:pStyle w:val="Paragraphedeliste"/>
              <w:numPr>
                <w:ilvl w:val="0"/>
                <w:numId w:val="31"/>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Détermination des espaces adaptés pour la création des zones de mouillages ;</w:t>
            </w:r>
          </w:p>
          <w:p w:rsidR="00E94FF7" w:rsidRPr="003E42CC" w:rsidRDefault="00E94FF7" w:rsidP="00E94FF7">
            <w:pPr>
              <w:pStyle w:val="Paragraphedeliste"/>
              <w:numPr>
                <w:ilvl w:val="0"/>
                <w:numId w:val="31"/>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Etudes des fonds marins et des solutions techniques pour l’implantation d’ancrages écologiques dans les eaux intérieures de la Polynésie française ;</w:t>
            </w:r>
          </w:p>
          <w:p w:rsidR="00E94FF7" w:rsidRPr="003E42CC" w:rsidRDefault="00E94FF7" w:rsidP="00E94FF7">
            <w:pPr>
              <w:pStyle w:val="Paragraphedeliste"/>
              <w:numPr>
                <w:ilvl w:val="0"/>
                <w:numId w:val="31"/>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La pose et l’installation des ancrages écologiques pour chaque zone de mouillage ;</w:t>
            </w:r>
          </w:p>
          <w:p w:rsidR="00E94FF7" w:rsidRPr="003E42CC" w:rsidRDefault="00E94FF7" w:rsidP="00E94FF7">
            <w:pPr>
              <w:pStyle w:val="Paragraphedeliste"/>
              <w:numPr>
                <w:ilvl w:val="0"/>
                <w:numId w:val="31"/>
              </w:numPr>
              <w:spacing w:before="0"/>
              <w:ind w:left="1324"/>
              <w:contextualSpacing w:val="0"/>
              <w:rPr>
                <w:rFonts w:asciiTheme="minorHAnsi" w:hAnsiTheme="minorHAnsi" w:cstheme="minorHAnsi"/>
                <w:sz w:val="18"/>
                <w:szCs w:val="18"/>
              </w:rPr>
            </w:pPr>
            <w:r w:rsidRPr="003E42CC">
              <w:rPr>
                <w:rFonts w:asciiTheme="minorHAnsi" w:hAnsiTheme="minorHAnsi" w:cstheme="minorHAnsi"/>
                <w:sz w:val="18"/>
                <w:szCs w:val="18"/>
              </w:rPr>
              <w:t>Entretien et maintenance des installations.</w:t>
            </w:r>
          </w:p>
          <w:p w:rsidR="00E43868" w:rsidRDefault="00E43868" w:rsidP="00F9414F">
            <w:pPr>
              <w:spacing w:before="0"/>
              <w:rPr>
                <w:rFonts w:asciiTheme="minorHAnsi" w:hAnsiTheme="minorHAnsi" w:cstheme="minorHAnsi"/>
                <w:b/>
                <w:bCs/>
                <w:sz w:val="18"/>
                <w:szCs w:val="18"/>
                <w:lang w:eastAsia="fr-FR"/>
              </w:rPr>
            </w:pPr>
          </w:p>
          <w:p w:rsidR="00F9414F" w:rsidRDefault="00F9414F" w:rsidP="00F9414F">
            <w:pPr>
              <w:spacing w:before="0"/>
            </w:pPr>
          </w:p>
          <w:p w:rsidR="00F9414F" w:rsidRPr="00D11170" w:rsidRDefault="00F9414F" w:rsidP="00F9414F">
            <w:pPr>
              <w:spacing w:before="0"/>
            </w:pP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D1508D" w:rsidRDefault="008A747A" w:rsidP="004F5B6B">
      <w:pPr>
        <w:spacing w:before="0"/>
        <w:rPr>
          <w:rFonts w:asciiTheme="minorHAnsi" w:hAnsiTheme="minorHAnsi" w:cstheme="minorHAnsi"/>
          <w:b/>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2" w:name="CaseACocher111"/>
            <w:r w:rsidRPr="00F44DD3">
              <w:rPr>
                <w:rFonts w:asciiTheme="minorHAnsi" w:eastAsia="Times New Roman" w:hAnsiTheme="minorHAnsi" w:cstheme="minorHAnsi"/>
                <w:sz w:val="20"/>
                <w:szCs w:val="20"/>
                <w:lang w:eastAsia="zh-CN"/>
              </w:rPr>
              <w:instrText xml:space="preserve"> FORMCHECKBOX </w:instrText>
            </w:r>
            <w:r w:rsidR="00E6768F">
              <w:rPr>
                <w:rFonts w:asciiTheme="minorHAnsi" w:eastAsia="Times New Roman" w:hAnsiTheme="minorHAnsi" w:cstheme="minorHAnsi"/>
                <w:sz w:val="20"/>
                <w:szCs w:val="20"/>
                <w:lang w:eastAsia="zh-CN"/>
              </w:rPr>
            </w:r>
            <w:r w:rsidR="00E6768F">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2"/>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E6768F">
              <w:rPr>
                <w:rFonts w:asciiTheme="minorHAnsi" w:eastAsia="Times New Roman" w:hAnsiTheme="minorHAnsi" w:cstheme="minorHAnsi"/>
                <w:sz w:val="20"/>
                <w:szCs w:val="20"/>
                <w:lang w:eastAsia="zh-CN"/>
              </w:rPr>
            </w:r>
            <w:r w:rsidR="00E6768F">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894D01" w:rsidRPr="00E94FF7" w:rsidRDefault="00AD17FD" w:rsidP="00E94FF7">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lastRenderedPageBreak/>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E6768F">
              <w:rPr>
                <w:rFonts w:asciiTheme="minorHAnsi" w:eastAsia="Times New Roman" w:hAnsiTheme="minorHAnsi" w:cstheme="minorHAnsi"/>
                <w:sz w:val="20"/>
                <w:szCs w:val="20"/>
                <w:lang w:eastAsia="zh-CN"/>
              </w:rPr>
            </w:r>
            <w:r w:rsidR="00E6768F">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E6768F">
              <w:rPr>
                <w:rFonts w:asciiTheme="minorHAnsi" w:eastAsia="Times New Roman" w:hAnsiTheme="minorHAnsi" w:cstheme="minorHAnsi"/>
                <w:sz w:val="20"/>
                <w:szCs w:val="20"/>
                <w:lang w:eastAsia="zh-CN"/>
              </w:rPr>
            </w:r>
            <w:r w:rsidR="00E6768F">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D1508D">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13"/>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432" w:rsidRDefault="00C45432" w:rsidP="002B5FC8">
      <w:pPr>
        <w:spacing w:before="0"/>
      </w:pPr>
      <w:r>
        <w:separator/>
      </w:r>
    </w:p>
  </w:endnote>
  <w:endnote w:type="continuationSeparator" w:id="0">
    <w:p w:rsidR="00C45432" w:rsidRDefault="00C45432"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E94FF7" w:rsidP="00C0734C">
          <w:pPr>
            <w:tabs>
              <w:tab w:val="right" w:pos="9072"/>
            </w:tabs>
            <w:spacing w:before="0"/>
            <w:ind w:right="357"/>
            <w:jc w:val="center"/>
            <w:rPr>
              <w:rFonts w:ascii="Arial Narrow" w:eastAsia="Times New Roman" w:hAnsi="Arial Narrow" w:cstheme="minorHAnsi"/>
              <w:b/>
              <w:sz w:val="18"/>
              <w:szCs w:val="18"/>
              <w:lang w:eastAsia="fr-FR"/>
            </w:rPr>
          </w:pPr>
          <w:r w:rsidRPr="00092FF6">
            <w:rPr>
              <w:rFonts w:ascii="Arial Narrow" w:eastAsia="Times New Roman" w:hAnsi="Arial Narrow" w:cstheme="minorHAnsi"/>
              <w:b/>
              <w:sz w:val="18"/>
              <w:szCs w:val="18"/>
              <w:lang w:eastAsia="fr-FR"/>
            </w:rPr>
            <w:t>Marché A.O. n° 2025-0</w:t>
          </w:r>
          <w:r w:rsidR="00834A7E">
            <w:rPr>
              <w:rFonts w:ascii="Arial Narrow" w:eastAsia="Times New Roman" w:hAnsi="Arial Narrow" w:cstheme="minorHAnsi"/>
              <w:b/>
              <w:sz w:val="18"/>
              <w:szCs w:val="18"/>
              <w:lang w:eastAsia="fr-FR"/>
            </w:rPr>
            <w:t>3</w:t>
          </w:r>
          <w:r w:rsidRPr="00092FF6">
            <w:rPr>
              <w:rFonts w:ascii="Arial Narrow" w:eastAsia="Times New Roman" w:hAnsi="Arial Narrow" w:cstheme="minorHAnsi"/>
              <w:b/>
              <w:sz w:val="18"/>
              <w:szCs w:val="18"/>
              <w:lang w:eastAsia="fr-FR"/>
            </w:rPr>
            <w:t xml:space="preserve">-MGT-DPAM : </w:t>
          </w:r>
          <w:r w:rsidRPr="00092FF6">
            <w:rPr>
              <w:rFonts w:ascii="Arial Narrow" w:hAnsi="Arial Narrow" w:cs="Calibri Light"/>
              <w:b/>
              <w:sz w:val="18"/>
              <w:szCs w:val="18"/>
            </w:rPr>
            <w:t>Travaux relatifs à la pose de dispositifs fixes d’amarrage à Raiatea-Tahaa</w:t>
          </w:r>
          <w:r>
            <w:rPr>
              <w:rFonts w:ascii="Arial Narrow" w:hAnsi="Arial Narrow" w:cs="Calibri Light"/>
              <w:b/>
              <w:sz w:val="18"/>
              <w:szCs w:val="18"/>
            </w:rPr>
            <w:t xml:space="preserve"> </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432" w:rsidRDefault="00C45432" w:rsidP="002B5FC8">
      <w:pPr>
        <w:spacing w:before="0"/>
      </w:pPr>
      <w:r>
        <w:separator/>
      </w:r>
    </w:p>
  </w:footnote>
  <w:footnote w:type="continuationSeparator" w:id="0">
    <w:p w:rsidR="00C45432" w:rsidRDefault="00C45432"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2148AC"/>
    <w:multiLevelType w:val="multilevel"/>
    <w:tmpl w:val="7506E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20"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58A49D1"/>
    <w:multiLevelType w:val="hybridMultilevel"/>
    <w:tmpl w:val="40A6A6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6A12AB"/>
    <w:multiLevelType w:val="hybridMultilevel"/>
    <w:tmpl w:val="CF86C5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9"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4"/>
  </w:num>
  <w:num w:numId="3">
    <w:abstractNumId w:val="11"/>
  </w:num>
  <w:num w:numId="4">
    <w:abstractNumId w:val="15"/>
  </w:num>
  <w:num w:numId="5">
    <w:abstractNumId w:val="5"/>
  </w:num>
  <w:num w:numId="6">
    <w:abstractNumId w:val="4"/>
  </w:num>
  <w:num w:numId="7">
    <w:abstractNumId w:val="7"/>
  </w:num>
  <w:num w:numId="8">
    <w:abstractNumId w:val="2"/>
  </w:num>
  <w:num w:numId="9">
    <w:abstractNumId w:val="23"/>
  </w:num>
  <w:num w:numId="10">
    <w:abstractNumId w:val="0"/>
  </w:num>
  <w:num w:numId="11">
    <w:abstractNumId w:val="14"/>
  </w:num>
  <w:num w:numId="12">
    <w:abstractNumId w:val="1"/>
  </w:num>
  <w:num w:numId="13">
    <w:abstractNumId w:val="3"/>
  </w:num>
  <w:num w:numId="14">
    <w:abstractNumId w:val="21"/>
  </w:num>
  <w:num w:numId="15">
    <w:abstractNumId w:val="17"/>
  </w:num>
  <w:num w:numId="16">
    <w:abstractNumId w:val="12"/>
  </w:num>
  <w:num w:numId="17">
    <w:abstractNumId w:val="25"/>
  </w:num>
  <w:num w:numId="18">
    <w:abstractNumId w:val="28"/>
  </w:num>
  <w:num w:numId="19">
    <w:abstractNumId w:val="10"/>
  </w:num>
  <w:num w:numId="20">
    <w:abstractNumId w:val="18"/>
  </w:num>
  <w:num w:numId="21">
    <w:abstractNumId w:val="20"/>
  </w:num>
  <w:num w:numId="22">
    <w:abstractNumId w:val="13"/>
  </w:num>
  <w:num w:numId="23">
    <w:abstractNumId w:val="8"/>
  </w:num>
  <w:num w:numId="24">
    <w:abstractNumId w:val="16"/>
  </w:num>
  <w:num w:numId="25">
    <w:abstractNumId w:val="22"/>
  </w:num>
  <w:num w:numId="26">
    <w:abstractNumId w:val="27"/>
  </w:num>
  <w:num w:numId="27">
    <w:abstractNumId w:val="19"/>
  </w:num>
  <w:num w:numId="28">
    <w:abstractNumId w:val="29"/>
  </w:num>
  <w:num w:numId="29">
    <w:abstractNumId w:val="6"/>
  </w:num>
  <w:num w:numId="30">
    <w:abstractNumId w:val="24"/>
  </w:num>
  <w:num w:numId="3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59C2"/>
    <w:rsid w:val="001A0AAA"/>
    <w:rsid w:val="001A3310"/>
    <w:rsid w:val="001B2E9E"/>
    <w:rsid w:val="001C004B"/>
    <w:rsid w:val="001C2113"/>
    <w:rsid w:val="001C512C"/>
    <w:rsid w:val="001C6252"/>
    <w:rsid w:val="001D179E"/>
    <w:rsid w:val="001D5376"/>
    <w:rsid w:val="001E1035"/>
    <w:rsid w:val="001E2373"/>
    <w:rsid w:val="001E35A9"/>
    <w:rsid w:val="001E6A95"/>
    <w:rsid w:val="001F2FFF"/>
    <w:rsid w:val="001F39C7"/>
    <w:rsid w:val="00200FD4"/>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942A0"/>
    <w:rsid w:val="002969CE"/>
    <w:rsid w:val="002A4323"/>
    <w:rsid w:val="002A4396"/>
    <w:rsid w:val="002B5FC8"/>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1955"/>
    <w:rsid w:val="003C75C4"/>
    <w:rsid w:val="003D6B25"/>
    <w:rsid w:val="003E2BE7"/>
    <w:rsid w:val="003E6943"/>
    <w:rsid w:val="00400026"/>
    <w:rsid w:val="00401609"/>
    <w:rsid w:val="004102A2"/>
    <w:rsid w:val="004106D0"/>
    <w:rsid w:val="00422354"/>
    <w:rsid w:val="00426B45"/>
    <w:rsid w:val="00435244"/>
    <w:rsid w:val="00441C79"/>
    <w:rsid w:val="00456AB3"/>
    <w:rsid w:val="004606CE"/>
    <w:rsid w:val="00467230"/>
    <w:rsid w:val="004723F6"/>
    <w:rsid w:val="004807B9"/>
    <w:rsid w:val="00480A79"/>
    <w:rsid w:val="00485192"/>
    <w:rsid w:val="004876BC"/>
    <w:rsid w:val="004B2A5F"/>
    <w:rsid w:val="004B47F8"/>
    <w:rsid w:val="004B539F"/>
    <w:rsid w:val="004C7D1E"/>
    <w:rsid w:val="004D0E4B"/>
    <w:rsid w:val="004E1B87"/>
    <w:rsid w:val="004E5405"/>
    <w:rsid w:val="004E6584"/>
    <w:rsid w:val="004F26F4"/>
    <w:rsid w:val="004F3473"/>
    <w:rsid w:val="004F4196"/>
    <w:rsid w:val="004F5B6B"/>
    <w:rsid w:val="00501E1F"/>
    <w:rsid w:val="00502139"/>
    <w:rsid w:val="0051573C"/>
    <w:rsid w:val="005304D0"/>
    <w:rsid w:val="00534104"/>
    <w:rsid w:val="00534871"/>
    <w:rsid w:val="00534C49"/>
    <w:rsid w:val="0054491E"/>
    <w:rsid w:val="0055623E"/>
    <w:rsid w:val="00560E2C"/>
    <w:rsid w:val="0056283F"/>
    <w:rsid w:val="00567D29"/>
    <w:rsid w:val="00591882"/>
    <w:rsid w:val="005A1DF7"/>
    <w:rsid w:val="005A2B75"/>
    <w:rsid w:val="005A4AEE"/>
    <w:rsid w:val="005A4FA6"/>
    <w:rsid w:val="005B000C"/>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0C22"/>
    <w:rsid w:val="0063263F"/>
    <w:rsid w:val="00637984"/>
    <w:rsid w:val="006400ED"/>
    <w:rsid w:val="0064038B"/>
    <w:rsid w:val="00640DB3"/>
    <w:rsid w:val="006439DC"/>
    <w:rsid w:val="00646C03"/>
    <w:rsid w:val="00650169"/>
    <w:rsid w:val="00655B7D"/>
    <w:rsid w:val="0067185F"/>
    <w:rsid w:val="00675F8E"/>
    <w:rsid w:val="00680286"/>
    <w:rsid w:val="006854AD"/>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F5CEC"/>
    <w:rsid w:val="0070098F"/>
    <w:rsid w:val="00703D7B"/>
    <w:rsid w:val="00703F17"/>
    <w:rsid w:val="0070531A"/>
    <w:rsid w:val="00711ADD"/>
    <w:rsid w:val="00716195"/>
    <w:rsid w:val="0072340C"/>
    <w:rsid w:val="007244D3"/>
    <w:rsid w:val="0072634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9181B"/>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34A7E"/>
    <w:rsid w:val="008412F3"/>
    <w:rsid w:val="0085031F"/>
    <w:rsid w:val="008558AD"/>
    <w:rsid w:val="008601E1"/>
    <w:rsid w:val="00860335"/>
    <w:rsid w:val="00860B50"/>
    <w:rsid w:val="00861712"/>
    <w:rsid w:val="008621B7"/>
    <w:rsid w:val="008650D6"/>
    <w:rsid w:val="00894D01"/>
    <w:rsid w:val="0089634E"/>
    <w:rsid w:val="008A1DEA"/>
    <w:rsid w:val="008A5EC4"/>
    <w:rsid w:val="008A6403"/>
    <w:rsid w:val="008A6C9A"/>
    <w:rsid w:val="008A747A"/>
    <w:rsid w:val="008D06A4"/>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E3D"/>
    <w:rsid w:val="009724C8"/>
    <w:rsid w:val="00977E91"/>
    <w:rsid w:val="009901C3"/>
    <w:rsid w:val="0099140C"/>
    <w:rsid w:val="00991E64"/>
    <w:rsid w:val="00993633"/>
    <w:rsid w:val="00995EC2"/>
    <w:rsid w:val="009963D8"/>
    <w:rsid w:val="0099722B"/>
    <w:rsid w:val="0099767C"/>
    <w:rsid w:val="009E42ED"/>
    <w:rsid w:val="009E68F7"/>
    <w:rsid w:val="009E6DDE"/>
    <w:rsid w:val="009F7119"/>
    <w:rsid w:val="00A0044B"/>
    <w:rsid w:val="00A049ED"/>
    <w:rsid w:val="00A11884"/>
    <w:rsid w:val="00A12D87"/>
    <w:rsid w:val="00A13106"/>
    <w:rsid w:val="00A1311E"/>
    <w:rsid w:val="00A209FD"/>
    <w:rsid w:val="00A21BED"/>
    <w:rsid w:val="00A21CB5"/>
    <w:rsid w:val="00A24901"/>
    <w:rsid w:val="00A26D46"/>
    <w:rsid w:val="00A305B5"/>
    <w:rsid w:val="00A467D9"/>
    <w:rsid w:val="00A46E8A"/>
    <w:rsid w:val="00A47070"/>
    <w:rsid w:val="00A500FE"/>
    <w:rsid w:val="00A5397D"/>
    <w:rsid w:val="00A629F1"/>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45432"/>
    <w:rsid w:val="00C718E6"/>
    <w:rsid w:val="00C754B4"/>
    <w:rsid w:val="00C75B7E"/>
    <w:rsid w:val="00C773B4"/>
    <w:rsid w:val="00C84B0D"/>
    <w:rsid w:val="00C90234"/>
    <w:rsid w:val="00C918E3"/>
    <w:rsid w:val="00CA42E8"/>
    <w:rsid w:val="00CB42F4"/>
    <w:rsid w:val="00CB642C"/>
    <w:rsid w:val="00CB7A22"/>
    <w:rsid w:val="00CC7404"/>
    <w:rsid w:val="00CD0D50"/>
    <w:rsid w:val="00CD5420"/>
    <w:rsid w:val="00CD6C33"/>
    <w:rsid w:val="00CE6D4E"/>
    <w:rsid w:val="00D03A8E"/>
    <w:rsid w:val="00D11170"/>
    <w:rsid w:val="00D1508D"/>
    <w:rsid w:val="00D16332"/>
    <w:rsid w:val="00D2216D"/>
    <w:rsid w:val="00D26B42"/>
    <w:rsid w:val="00D27094"/>
    <w:rsid w:val="00D465CD"/>
    <w:rsid w:val="00D55CED"/>
    <w:rsid w:val="00D61753"/>
    <w:rsid w:val="00D6634F"/>
    <w:rsid w:val="00D77844"/>
    <w:rsid w:val="00D81CED"/>
    <w:rsid w:val="00D864FF"/>
    <w:rsid w:val="00D86C04"/>
    <w:rsid w:val="00D927AD"/>
    <w:rsid w:val="00DA2B4A"/>
    <w:rsid w:val="00DA794A"/>
    <w:rsid w:val="00DB2CA8"/>
    <w:rsid w:val="00DC11C6"/>
    <w:rsid w:val="00DC3935"/>
    <w:rsid w:val="00DC73BE"/>
    <w:rsid w:val="00DD2BC2"/>
    <w:rsid w:val="00DD6B46"/>
    <w:rsid w:val="00DE1DF7"/>
    <w:rsid w:val="00DE2043"/>
    <w:rsid w:val="00DE21E9"/>
    <w:rsid w:val="00DE29D3"/>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6768F"/>
    <w:rsid w:val="00E80354"/>
    <w:rsid w:val="00E92C71"/>
    <w:rsid w:val="00E94FF7"/>
    <w:rsid w:val="00E961EE"/>
    <w:rsid w:val="00E96DCF"/>
    <w:rsid w:val="00EA77BD"/>
    <w:rsid w:val="00EB4791"/>
    <w:rsid w:val="00EC0698"/>
    <w:rsid w:val="00ED001A"/>
    <w:rsid w:val="00ED0B9D"/>
    <w:rsid w:val="00ED2E4F"/>
    <w:rsid w:val="00ED3C04"/>
    <w:rsid w:val="00ED54C2"/>
    <w:rsid w:val="00EE0026"/>
    <w:rsid w:val="00EE063A"/>
    <w:rsid w:val="00EF0B9A"/>
    <w:rsid w:val="00EF13E1"/>
    <w:rsid w:val="00EF2568"/>
    <w:rsid w:val="00F069D4"/>
    <w:rsid w:val="00F154B7"/>
    <w:rsid w:val="00F1586A"/>
    <w:rsid w:val="00F166D4"/>
    <w:rsid w:val="00F20D22"/>
    <w:rsid w:val="00F21C8F"/>
    <w:rsid w:val="00F359A1"/>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9414F"/>
    <w:rsid w:val="00FA0909"/>
    <w:rsid w:val="00FA4309"/>
    <w:rsid w:val="00FB23D7"/>
    <w:rsid w:val="00FB2AA5"/>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74E6F7"/>
  <w15:docId w15:val="{141452CB-6756-4A5A-B992-A0DECA34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aliases w:val="Paragraphe"/>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paragraph" w:styleId="NormalWeb">
    <w:name w:val="Normal (Web)"/>
    <w:basedOn w:val="Normal"/>
    <w:uiPriority w:val="99"/>
    <w:rsid w:val="0079181B"/>
    <w:pPr>
      <w:spacing w:before="100" w:beforeAutospacing="1" w:after="100" w:afterAutospacing="1"/>
      <w:jc w:val="left"/>
    </w:pPr>
    <w:rPr>
      <w:rFonts w:eastAsia="Times New Roman" w:cs="Times New Roman"/>
      <w:sz w:val="24"/>
      <w:szCs w:val="24"/>
      <w:lang w:eastAsia="fr-FR"/>
    </w:rPr>
  </w:style>
  <w:style w:type="character" w:styleId="lev">
    <w:name w:val="Strong"/>
    <w:uiPriority w:val="22"/>
    <w:qFormat/>
    <w:rsid w:val="00791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ueil.dpam@administration.gov.p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5C7B-2E88-4CDA-9727-A6F66D46C3C4}">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2.xml><?xml version="1.0" encoding="utf-8"?>
<ds:datastoreItem xmlns:ds="http://schemas.openxmlformats.org/officeDocument/2006/customXml" ds:itemID="{A745E8B0-0F61-4305-B1C9-1D356AB6F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07C31-9592-44EA-B8B3-C197E547B413}">
  <ds:schemaRefs>
    <ds:schemaRef ds:uri="http://schemas.microsoft.com/sharepoint/v3/contenttype/forms"/>
  </ds:schemaRefs>
</ds:datastoreItem>
</file>

<file path=customXml/itemProps4.xml><?xml version="1.0" encoding="utf-8"?>
<ds:datastoreItem xmlns:ds="http://schemas.openxmlformats.org/officeDocument/2006/customXml" ds:itemID="{5E861B1D-8805-4C0C-B435-924D2888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992</Words>
  <Characters>5458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Nicole BOUTEAU</cp:lastModifiedBy>
  <cp:revision>8</cp:revision>
  <cp:lastPrinted>2018-03-29T21:32:00Z</cp:lastPrinted>
  <dcterms:created xsi:type="dcterms:W3CDTF">2024-12-27T20:14:00Z</dcterms:created>
  <dcterms:modified xsi:type="dcterms:W3CDTF">2025-06-11T20:37:00Z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